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37"/>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3113"/>
        <w:gridCol w:w="6103"/>
        <w:gridCol w:w="3824"/>
      </w:tblGrid>
      <w:tr w:rsidR="00B13164" w:rsidRPr="007E65DA" w:rsidTr="00AB785D">
        <w:trPr>
          <w:trHeight w:val="394"/>
        </w:trPr>
        <w:tc>
          <w:tcPr>
            <w:tcW w:w="5000" w:type="pct"/>
            <w:gridSpan w:val="4"/>
            <w:tcBorders>
              <w:bottom w:val="single" w:sz="4" w:space="0" w:color="auto"/>
            </w:tcBorders>
            <w:shd w:val="clear" w:color="auto" w:fill="D9D9D9"/>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Kryteria wyboru projektów dotyczących Celu ogólnego nr 1 - Obszar przedsiębiorczych mieszkańców, rozwinięty gospodarczo z priorytetem dostępu do rynku pracy osób defaworyzowanych - w ramach realizacji LSR 2014-2020</w:t>
            </w:r>
          </w:p>
        </w:tc>
      </w:tr>
      <w:tr w:rsidR="00B13164" w:rsidRPr="007E65DA" w:rsidTr="00AB785D">
        <w:trPr>
          <w:trHeight w:val="394"/>
        </w:trPr>
        <w:tc>
          <w:tcPr>
            <w:tcW w:w="5000" w:type="pct"/>
            <w:gridSpan w:val="4"/>
            <w:shd w:val="clear" w:color="auto" w:fill="auto"/>
          </w:tcPr>
          <w:p w:rsidR="00B13164" w:rsidRPr="007E65DA" w:rsidRDefault="00B13164" w:rsidP="00B13164">
            <w:pPr>
              <w:pStyle w:val="Akapitzlist"/>
              <w:numPr>
                <w:ilvl w:val="0"/>
                <w:numId w:val="6"/>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 xml:space="preserve">System oceny opiera się na jednakowym przyznawaniu punktów, zgodnie z punktacją wskazaną w kolumnie „punkty”. Jeżeli członek Rady uważa dane kryterium za spełnione, należy przyznać taką ilość punktów, jaką wskazano w kolumnie 4, jeżeli uważa, że nie spełnione „0”. </w:t>
            </w:r>
          </w:p>
          <w:p w:rsidR="00B13164" w:rsidRPr="007E65DA" w:rsidRDefault="00B13164" w:rsidP="00B13164">
            <w:pPr>
              <w:pStyle w:val="Akapitzlist"/>
              <w:numPr>
                <w:ilvl w:val="0"/>
                <w:numId w:val="6"/>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 xml:space="preserve">Oceniający nie może przyznać punktów cząstkowych/ułamkowych np. 2,5 pkt. </w:t>
            </w:r>
          </w:p>
          <w:p w:rsidR="00B13164" w:rsidRPr="007E65DA" w:rsidRDefault="00B13164" w:rsidP="00B13164">
            <w:pPr>
              <w:pStyle w:val="Akapitzlist"/>
              <w:numPr>
                <w:ilvl w:val="0"/>
                <w:numId w:val="6"/>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Oceniający opiera się na definicjach zawartych w kol. Opis/definicje.</w:t>
            </w:r>
          </w:p>
          <w:p w:rsidR="00B13164" w:rsidRPr="007E65DA" w:rsidRDefault="00B13164" w:rsidP="00B13164">
            <w:pPr>
              <w:pStyle w:val="Akapitzlist"/>
              <w:numPr>
                <w:ilvl w:val="0"/>
                <w:numId w:val="6"/>
              </w:numPr>
              <w:snapToGrid w:val="0"/>
              <w:spacing w:after="0" w:line="360" w:lineRule="auto"/>
              <w:rPr>
                <w:rFonts w:ascii="Times New Roman" w:eastAsia="Times New Roman" w:hAnsi="Times New Roman"/>
                <w:b/>
                <w:bCs/>
                <w:color w:val="000000"/>
                <w:sz w:val="20"/>
                <w:szCs w:val="20"/>
                <w:lang w:eastAsia="ar-SA"/>
              </w:rPr>
            </w:pPr>
            <w:r w:rsidRPr="007E65DA">
              <w:rPr>
                <w:rFonts w:ascii="Times New Roman" w:eastAsia="Times New Roman" w:hAnsi="Times New Roman"/>
                <w:b/>
                <w:bCs/>
                <w:color w:val="000000"/>
                <w:sz w:val="20"/>
                <w:szCs w:val="20"/>
                <w:lang w:eastAsia="ar-SA"/>
              </w:rPr>
              <w:t>Maksymalną</w:t>
            </w:r>
            <w:r w:rsidRPr="007E65DA">
              <w:rPr>
                <w:rFonts w:ascii="Times New Roman" w:eastAsia="Times New Roman" w:hAnsi="Times New Roman"/>
                <w:bCs/>
                <w:color w:val="000000"/>
                <w:sz w:val="20"/>
                <w:szCs w:val="20"/>
                <w:lang w:eastAsia="ar-SA"/>
              </w:rPr>
              <w:t xml:space="preserve"> ilość punktów, którą operacja może otrzymać w trakcie oceny</w:t>
            </w:r>
            <w:r>
              <w:rPr>
                <w:rFonts w:ascii="Times New Roman" w:eastAsia="Times New Roman" w:hAnsi="Times New Roman"/>
                <w:b/>
                <w:bCs/>
                <w:color w:val="000000"/>
                <w:sz w:val="20"/>
                <w:szCs w:val="20"/>
                <w:lang w:eastAsia="ar-SA"/>
              </w:rPr>
              <w:t>– 83</w:t>
            </w:r>
            <w:r w:rsidRPr="007E65DA">
              <w:rPr>
                <w:rFonts w:ascii="Times New Roman" w:eastAsia="Times New Roman" w:hAnsi="Times New Roman"/>
                <w:b/>
                <w:bCs/>
                <w:color w:val="000000"/>
                <w:sz w:val="20"/>
                <w:szCs w:val="20"/>
                <w:lang w:eastAsia="ar-SA"/>
              </w:rPr>
              <w:t xml:space="preserve"> pkt.</w:t>
            </w:r>
          </w:p>
          <w:p w:rsidR="00B13164" w:rsidRPr="007E65DA" w:rsidRDefault="00B13164" w:rsidP="00B13164">
            <w:pPr>
              <w:pStyle w:val="Akapitzlist"/>
              <w:numPr>
                <w:ilvl w:val="0"/>
                <w:numId w:val="6"/>
              </w:numPr>
              <w:snapToGrid w:val="0"/>
              <w:spacing w:after="0" w:line="360" w:lineRule="auto"/>
              <w:rPr>
                <w:rFonts w:ascii="Times New Roman" w:hAnsi="Times New Roman"/>
                <w:color w:val="000000"/>
                <w:sz w:val="20"/>
                <w:szCs w:val="20"/>
                <w:lang w:eastAsia="ar-SA"/>
              </w:rPr>
            </w:pPr>
            <w:r w:rsidRPr="007E65DA">
              <w:rPr>
                <w:rFonts w:ascii="Times New Roman" w:eastAsia="Times New Roman" w:hAnsi="Times New Roman"/>
                <w:b/>
                <w:bCs/>
                <w:color w:val="000000"/>
                <w:sz w:val="20"/>
                <w:szCs w:val="20"/>
                <w:lang w:eastAsia="ar-SA"/>
              </w:rPr>
              <w:t xml:space="preserve">Minimalną </w:t>
            </w:r>
            <w:r w:rsidRPr="007E65DA">
              <w:rPr>
                <w:rFonts w:ascii="Times New Roman" w:eastAsia="Times New Roman" w:hAnsi="Times New Roman"/>
                <w:bCs/>
                <w:color w:val="000000"/>
                <w:sz w:val="20"/>
                <w:szCs w:val="20"/>
                <w:lang w:eastAsia="ar-SA"/>
              </w:rPr>
              <w:t>ilość punktów, którą operacja musi otrzymać w trakcie oceny</w:t>
            </w:r>
            <w:r>
              <w:rPr>
                <w:rFonts w:ascii="Times New Roman" w:eastAsia="Times New Roman" w:hAnsi="Times New Roman"/>
                <w:b/>
                <w:bCs/>
                <w:color w:val="000000"/>
                <w:sz w:val="20"/>
                <w:szCs w:val="20"/>
                <w:lang w:eastAsia="ar-SA"/>
              </w:rPr>
              <w:t>–25</w:t>
            </w:r>
            <w:bookmarkStart w:id="0" w:name="_GoBack"/>
            <w:bookmarkEnd w:id="0"/>
            <w:r w:rsidRPr="007E65DA">
              <w:rPr>
                <w:rFonts w:ascii="Times New Roman" w:eastAsia="Times New Roman" w:hAnsi="Times New Roman"/>
                <w:b/>
                <w:bCs/>
                <w:color w:val="000000"/>
                <w:sz w:val="20"/>
                <w:szCs w:val="20"/>
                <w:lang w:eastAsia="ar-SA"/>
              </w:rPr>
              <w:t xml:space="preserve"> pkt.</w:t>
            </w:r>
          </w:p>
          <w:p w:rsidR="00B13164" w:rsidRPr="007E65DA" w:rsidRDefault="00B13164" w:rsidP="00B13164">
            <w:pPr>
              <w:pStyle w:val="Akapitzlist"/>
              <w:numPr>
                <w:ilvl w:val="0"/>
                <w:numId w:val="6"/>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Karta zostanie zweryfikowana podczas posiedzenia Rady przez wyznaczoną Komisję, składającą się z 2 sprawdzających, którzy będą czuwać nad prawidłowym przebiegiem oceny i wyboru, poprawności dokumentacji, zgodności formalnej.</w:t>
            </w:r>
          </w:p>
          <w:p w:rsidR="00B13164" w:rsidRPr="007E65DA" w:rsidRDefault="00B13164" w:rsidP="00B13164">
            <w:pPr>
              <w:pStyle w:val="Akapitzlist"/>
              <w:numPr>
                <w:ilvl w:val="0"/>
                <w:numId w:val="6"/>
              </w:numPr>
              <w:snapToGrid w:val="0"/>
              <w:spacing w:after="0" w:line="360" w:lineRule="auto"/>
              <w:rPr>
                <w:rFonts w:ascii="Times New Roman" w:hAnsi="Times New Roman"/>
                <w:b/>
                <w:color w:val="000000"/>
                <w:sz w:val="20"/>
                <w:szCs w:val="20"/>
                <w:lang w:eastAsia="ar-SA"/>
              </w:rPr>
            </w:pPr>
            <w:r w:rsidRPr="007E65DA">
              <w:rPr>
                <w:rFonts w:ascii="Times New Roman" w:hAnsi="Times New Roman"/>
                <w:color w:val="000000"/>
                <w:sz w:val="20"/>
                <w:szCs w:val="20"/>
                <w:lang w:eastAsia="ar-SA"/>
              </w:rPr>
              <w:t>Należy zwrócić uwagę na opis każdego kryterium – w niektórych przypadkach możliwe jest przyznanie punktów w jednej kategorii danego kryterium, w niektórych w kilku. Wówczas punkty w danym kryterium należy zsumować.</w:t>
            </w:r>
          </w:p>
        </w:tc>
      </w:tr>
      <w:tr w:rsidR="00B13164" w:rsidRPr="007E65DA" w:rsidTr="00AB785D">
        <w:trPr>
          <w:trHeight w:val="394"/>
        </w:trPr>
        <w:tc>
          <w:tcPr>
            <w:tcW w:w="338" w:type="pct"/>
            <w:shd w:val="clear" w:color="auto" w:fill="D9D9D9"/>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L.p.</w:t>
            </w:r>
          </w:p>
        </w:tc>
        <w:tc>
          <w:tcPr>
            <w:tcW w:w="1113" w:type="pct"/>
            <w:shd w:val="clear" w:color="auto" w:fill="D9D9D9"/>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Kryteria oceny</w:t>
            </w:r>
          </w:p>
        </w:tc>
        <w:tc>
          <w:tcPr>
            <w:tcW w:w="2182" w:type="pct"/>
            <w:shd w:val="clear" w:color="auto" w:fill="D9D9D9"/>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Opis / definicje</w:t>
            </w:r>
          </w:p>
        </w:tc>
        <w:tc>
          <w:tcPr>
            <w:tcW w:w="1367" w:type="pct"/>
            <w:shd w:val="clear" w:color="auto" w:fill="D9D9D9"/>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Punkty</w:t>
            </w:r>
          </w:p>
        </w:tc>
      </w:tr>
      <w:tr w:rsidR="00B13164" w:rsidRPr="007E65DA" w:rsidTr="00AB785D">
        <w:trPr>
          <w:trHeight w:val="394"/>
        </w:trPr>
        <w:tc>
          <w:tcPr>
            <w:tcW w:w="338" w:type="pct"/>
            <w:shd w:val="clear" w:color="auto" w:fill="D9D9D9"/>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1</w:t>
            </w:r>
          </w:p>
        </w:tc>
        <w:tc>
          <w:tcPr>
            <w:tcW w:w="1113" w:type="pct"/>
            <w:shd w:val="clear" w:color="auto" w:fill="D9D9D9"/>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2</w:t>
            </w:r>
          </w:p>
        </w:tc>
        <w:tc>
          <w:tcPr>
            <w:tcW w:w="2182" w:type="pct"/>
            <w:shd w:val="clear" w:color="auto" w:fill="D9D9D9"/>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3</w:t>
            </w:r>
          </w:p>
        </w:tc>
        <w:tc>
          <w:tcPr>
            <w:tcW w:w="1367" w:type="pct"/>
            <w:shd w:val="clear" w:color="auto" w:fill="D9D9D9"/>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4</w:t>
            </w: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1</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Wsparcie grup defaworyzowanych</w:t>
            </w:r>
          </w:p>
        </w:tc>
        <w:tc>
          <w:tcPr>
            <w:tcW w:w="2182" w:type="pct"/>
            <w:shd w:val="clear" w:color="auto" w:fill="auto"/>
          </w:tcPr>
          <w:p w:rsidR="00B13164" w:rsidRDefault="00B13164" w:rsidP="00AB785D">
            <w:pPr>
              <w:spacing w:after="0" w:line="360" w:lineRule="auto"/>
              <w:jc w:val="both"/>
              <w:rPr>
                <w:rFonts w:ascii="Times New Roman" w:hAnsi="Times New Roman"/>
                <w:color w:val="000000"/>
                <w:sz w:val="20"/>
                <w:szCs w:val="20"/>
              </w:rPr>
            </w:pPr>
            <w:r>
              <w:rPr>
                <w:rFonts w:ascii="Times New Roman" w:hAnsi="Times New Roman"/>
                <w:color w:val="000000"/>
                <w:sz w:val="20"/>
                <w:szCs w:val="20"/>
              </w:rPr>
              <w:t>Wnioskodawca:</w:t>
            </w:r>
          </w:p>
          <w:p w:rsidR="00B13164" w:rsidRDefault="00B13164" w:rsidP="00B13164">
            <w:pPr>
              <w:numPr>
                <w:ilvl w:val="0"/>
                <w:numId w:val="7"/>
              </w:numPr>
              <w:spacing w:after="0" w:line="360" w:lineRule="auto"/>
              <w:jc w:val="both"/>
              <w:rPr>
                <w:rFonts w:ascii="Times New Roman" w:hAnsi="Times New Roman"/>
                <w:color w:val="000000"/>
                <w:sz w:val="20"/>
                <w:szCs w:val="20"/>
              </w:rPr>
            </w:pPr>
            <w:r>
              <w:rPr>
                <w:rFonts w:ascii="Times New Roman" w:hAnsi="Times New Roman"/>
                <w:color w:val="000000"/>
                <w:sz w:val="20"/>
                <w:szCs w:val="20"/>
              </w:rPr>
              <w:t>jest osobą  z grup defaworyzowanych  określonych w LSR lub,</w:t>
            </w:r>
          </w:p>
          <w:p w:rsidR="00B13164" w:rsidRPr="007E65DA" w:rsidRDefault="00B13164" w:rsidP="00B13164">
            <w:pPr>
              <w:numPr>
                <w:ilvl w:val="0"/>
                <w:numId w:val="7"/>
              </w:numPr>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zobowiązuje się do utworzenia miejsca pracy dla osób z grup defaworyzowanych  określonych w LSR: </w:t>
            </w:r>
          </w:p>
          <w:p w:rsidR="00B13164" w:rsidRPr="007E65DA" w:rsidRDefault="00B13164" w:rsidP="00AB785D">
            <w:pPr>
              <w:pStyle w:val="Default"/>
              <w:spacing w:line="360" w:lineRule="auto"/>
              <w:jc w:val="both"/>
              <w:rPr>
                <w:rFonts w:ascii="Times New Roman" w:hAnsi="Times New Roman" w:cs="Times New Roman"/>
                <w:sz w:val="20"/>
                <w:szCs w:val="20"/>
              </w:rPr>
            </w:pPr>
            <w:r w:rsidRPr="007E65DA">
              <w:rPr>
                <w:rFonts w:ascii="Times New Roman" w:hAnsi="Times New Roman" w:cs="Times New Roman"/>
                <w:sz w:val="20"/>
                <w:szCs w:val="20"/>
              </w:rPr>
              <w:t xml:space="preserve">„Ważnym zagadnieniem ustalanym w badaniu było określenie grup defaworyzowanych. Pytanie miało również za zadanie zweryfikować, czy ktokolwiek powinien być uprzywilejowany przy wyborze operacji do finansowania i do kogo przede wszystkim powinny być kierowane działania w ramach projektów związanych z realizacją LSR”. </w:t>
            </w:r>
          </w:p>
          <w:p w:rsidR="00B13164" w:rsidRPr="007E65DA" w:rsidRDefault="00B13164" w:rsidP="00AB785D">
            <w:pPr>
              <w:spacing w:after="0" w:line="360" w:lineRule="auto"/>
              <w:jc w:val="both"/>
              <w:rPr>
                <w:rFonts w:ascii="Times New Roman" w:hAnsi="Times New Roman"/>
                <w:color w:val="000000"/>
                <w:sz w:val="20"/>
                <w:szCs w:val="20"/>
              </w:rPr>
            </w:pPr>
            <w:r w:rsidRPr="007E65DA">
              <w:rPr>
                <w:rFonts w:ascii="Times New Roman" w:hAnsi="Times New Roman"/>
                <w:color w:val="000000"/>
                <w:sz w:val="20"/>
                <w:szCs w:val="20"/>
              </w:rPr>
              <w:lastRenderedPageBreak/>
              <w:t xml:space="preserve">„Na podstawie konsultacji społecznych i diagnozy obszaru LGD, zidentyfikowano następujące kluczowe grupy docelowe, grupy osób wykluczonych czyli inaczej </w:t>
            </w:r>
            <w:r w:rsidRPr="007E65DA">
              <w:rPr>
                <w:rFonts w:ascii="Times New Roman" w:hAnsi="Times New Roman"/>
                <w:b/>
                <w:color w:val="000000"/>
                <w:sz w:val="20"/>
                <w:szCs w:val="20"/>
              </w:rPr>
              <w:t>„grupy defaworyzowane”</w:t>
            </w:r>
            <w:r w:rsidRPr="007E65DA">
              <w:rPr>
                <w:rFonts w:ascii="Times New Roman" w:hAnsi="Times New Roman"/>
                <w:color w:val="000000"/>
                <w:sz w:val="20"/>
                <w:szCs w:val="20"/>
              </w:rPr>
              <w:t xml:space="preserve"> będące w trudnej sytuacji/położeniu na rynku pracy”.</w:t>
            </w:r>
          </w:p>
          <w:p w:rsidR="00B13164" w:rsidRPr="00021340" w:rsidRDefault="00B13164" w:rsidP="00AB785D">
            <w:pPr>
              <w:snapToGrid w:val="0"/>
              <w:spacing w:after="0" w:line="360" w:lineRule="auto"/>
              <w:rPr>
                <w:rFonts w:ascii="Times New Roman" w:hAnsi="Times New Roman"/>
                <w:b/>
                <w:color w:val="000000"/>
                <w:sz w:val="20"/>
                <w:szCs w:val="20"/>
              </w:rPr>
            </w:pPr>
            <w:r w:rsidRPr="00021340">
              <w:rPr>
                <w:rFonts w:ascii="Times New Roman" w:hAnsi="Times New Roman"/>
                <w:b/>
                <w:color w:val="000000"/>
                <w:sz w:val="20"/>
                <w:szCs w:val="20"/>
              </w:rPr>
              <w:t>Grupa defaworyzowana:</w:t>
            </w:r>
          </w:p>
          <w:p w:rsidR="00B13164" w:rsidRPr="007E65DA" w:rsidRDefault="00B13164" w:rsidP="00B13164">
            <w:pPr>
              <w:pStyle w:val="Akapitzlist"/>
              <w:numPr>
                <w:ilvl w:val="0"/>
                <w:numId w:val="1"/>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rPr>
              <w:t xml:space="preserve">młodzież do 25 roku życia, </w:t>
            </w:r>
          </w:p>
          <w:p w:rsidR="00B13164" w:rsidRPr="007E65DA" w:rsidRDefault="00B13164" w:rsidP="00B13164">
            <w:pPr>
              <w:pStyle w:val="Akapitzlist"/>
              <w:numPr>
                <w:ilvl w:val="0"/>
                <w:numId w:val="1"/>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rPr>
              <w:t xml:space="preserve">kobiety w każdym wieku, </w:t>
            </w:r>
          </w:p>
          <w:p w:rsidR="00B13164" w:rsidRPr="007E65DA" w:rsidRDefault="00B13164" w:rsidP="00B13164">
            <w:pPr>
              <w:pStyle w:val="Akapitzlist"/>
              <w:numPr>
                <w:ilvl w:val="0"/>
                <w:numId w:val="1"/>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rPr>
              <w:t xml:space="preserve">osoby niepełnosprawne, </w:t>
            </w:r>
          </w:p>
          <w:p w:rsidR="00B13164" w:rsidRPr="007E65DA" w:rsidRDefault="00B13164" w:rsidP="00B13164">
            <w:pPr>
              <w:pStyle w:val="Akapitzlist"/>
              <w:numPr>
                <w:ilvl w:val="0"/>
                <w:numId w:val="1"/>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rPr>
              <w:t xml:space="preserve">osoby w wieku 50 +, </w:t>
            </w:r>
          </w:p>
          <w:p w:rsidR="00B13164" w:rsidRDefault="00B13164" w:rsidP="00B13164">
            <w:pPr>
              <w:pStyle w:val="Akapitzlist"/>
              <w:numPr>
                <w:ilvl w:val="0"/>
                <w:numId w:val="1"/>
              </w:numPr>
              <w:snapToGrid w:val="0"/>
              <w:spacing w:after="0" w:line="360" w:lineRule="auto"/>
              <w:rPr>
                <w:rFonts w:ascii="Times New Roman" w:hAnsi="Times New Roman"/>
                <w:b/>
                <w:color w:val="000000"/>
                <w:sz w:val="20"/>
                <w:szCs w:val="20"/>
                <w:lang w:eastAsia="ar-SA"/>
              </w:rPr>
            </w:pPr>
            <w:r w:rsidRPr="007E65DA">
              <w:rPr>
                <w:rFonts w:ascii="Times New Roman" w:hAnsi="Times New Roman"/>
                <w:color w:val="000000"/>
                <w:sz w:val="20"/>
                <w:szCs w:val="20"/>
              </w:rPr>
              <w:t>rolnicy</w:t>
            </w:r>
          </w:p>
          <w:p w:rsidR="00B13164" w:rsidRPr="00021340" w:rsidRDefault="00B13164" w:rsidP="00AB785D">
            <w:pPr>
              <w:pStyle w:val="Akapitzlist"/>
              <w:snapToGrid w:val="0"/>
              <w:spacing w:after="0" w:line="360" w:lineRule="auto"/>
              <w:rPr>
                <w:rFonts w:ascii="Times New Roman" w:hAnsi="Times New Roman"/>
                <w:b/>
                <w:color w:val="000000"/>
                <w:sz w:val="20"/>
                <w:szCs w:val="20"/>
                <w:lang w:eastAsia="ar-SA"/>
              </w:rPr>
            </w:pPr>
          </w:p>
          <w:p w:rsidR="00B13164" w:rsidRDefault="00B13164" w:rsidP="00AB785D">
            <w:pPr>
              <w:pStyle w:val="Akapitzlist"/>
              <w:spacing w:after="0" w:line="360" w:lineRule="auto"/>
              <w:ind w:left="0"/>
              <w:jc w:val="both"/>
              <w:rPr>
                <w:rFonts w:ascii="Times New Roman" w:hAnsi="Times New Roman"/>
                <w:i/>
                <w:color w:val="000000"/>
                <w:sz w:val="20"/>
                <w:szCs w:val="20"/>
              </w:rPr>
            </w:pPr>
            <w:r w:rsidRPr="007E65DA">
              <w:rPr>
                <w:rFonts w:ascii="Times New Roman" w:hAnsi="Times New Roman"/>
                <w:i/>
                <w:color w:val="000000"/>
                <w:sz w:val="20"/>
                <w:szCs w:val="20"/>
              </w:rPr>
              <w:t>Kryterium weryfikowane będzie na podstawie szczegółowego opisu w dokumentach aplikacyjnych .</w:t>
            </w:r>
          </w:p>
          <w:p w:rsidR="00B13164" w:rsidRDefault="00B13164" w:rsidP="00AB785D">
            <w:pPr>
              <w:pStyle w:val="Akapitzlist"/>
              <w:spacing w:after="0" w:line="360" w:lineRule="auto"/>
              <w:ind w:left="0"/>
              <w:jc w:val="both"/>
              <w:rPr>
                <w:rFonts w:ascii="Times New Roman" w:hAnsi="Times New Roman"/>
                <w:color w:val="000000"/>
                <w:sz w:val="20"/>
                <w:szCs w:val="20"/>
              </w:rPr>
            </w:pPr>
            <w:r>
              <w:rPr>
                <w:rFonts w:ascii="Vrinda" w:hAnsi="Vrinda" w:cs="Vrinda"/>
                <w:color w:val="000000"/>
                <w:sz w:val="20"/>
                <w:szCs w:val="20"/>
              </w:rPr>
              <w:t xml:space="preserve"> * </w:t>
            </w:r>
            <w:r>
              <w:rPr>
                <w:rFonts w:ascii="Times New Roman" w:hAnsi="Times New Roman"/>
                <w:color w:val="000000"/>
                <w:sz w:val="20"/>
                <w:szCs w:val="20"/>
              </w:rPr>
              <w:t>młodzież do 25 roku  życia – uznaje się osoby, które złożyły wniosek najpóźniej  w dniu  25 urodzin,</w:t>
            </w:r>
          </w:p>
          <w:p w:rsidR="00B13164" w:rsidRPr="00021340" w:rsidRDefault="00B13164" w:rsidP="00AB785D">
            <w:pPr>
              <w:pStyle w:val="Akapitzlist"/>
              <w:spacing w:after="0" w:line="360" w:lineRule="auto"/>
              <w:ind w:left="0"/>
              <w:jc w:val="both"/>
              <w:rPr>
                <w:rFonts w:ascii="Times New Roman" w:hAnsi="Times New Roman"/>
                <w:color w:val="000000"/>
                <w:sz w:val="20"/>
                <w:szCs w:val="20"/>
              </w:rPr>
            </w:pPr>
            <w:r>
              <w:rPr>
                <w:rFonts w:ascii="Vrinda" w:hAnsi="Vrinda" w:cs="Vrinda"/>
                <w:color w:val="000000"/>
                <w:sz w:val="20"/>
                <w:szCs w:val="20"/>
              </w:rPr>
              <w:t xml:space="preserve"> * </w:t>
            </w:r>
            <w:r w:rsidRPr="000F3066">
              <w:rPr>
                <w:rFonts w:ascii="Times New Roman" w:hAnsi="Times New Roman"/>
                <w:color w:val="000000"/>
                <w:sz w:val="20"/>
                <w:szCs w:val="20"/>
              </w:rPr>
              <w:t>osoby</w:t>
            </w:r>
            <w:r>
              <w:rPr>
                <w:rFonts w:ascii="Times New Roman" w:hAnsi="Times New Roman"/>
                <w:color w:val="000000"/>
                <w:sz w:val="20"/>
                <w:szCs w:val="20"/>
              </w:rPr>
              <w:t xml:space="preserve"> w wieku 50 +  - uznaje się osoby, które złożyły wniosek  najwcześniej w dniu 50 urodzin  </w:t>
            </w:r>
            <w:r>
              <w:rPr>
                <w:rFonts w:ascii="Vrinda" w:hAnsi="Vrinda" w:cs="Vrinda"/>
                <w:color w:val="000000"/>
                <w:sz w:val="20"/>
                <w:szCs w:val="20"/>
              </w:rPr>
              <w:t xml:space="preserve"> </w:t>
            </w:r>
          </w:p>
          <w:p w:rsidR="00B13164" w:rsidRPr="007E65DA" w:rsidRDefault="00B13164" w:rsidP="00AB785D">
            <w:pPr>
              <w:snapToGrid w:val="0"/>
              <w:spacing w:after="0" w:line="360" w:lineRule="auto"/>
              <w:rPr>
                <w:rFonts w:ascii="Times New Roman" w:hAnsi="Times New Roman"/>
                <w:b/>
                <w:color w:val="000000"/>
                <w:sz w:val="20"/>
                <w:szCs w:val="20"/>
                <w:lang w:eastAsia="ar-SA"/>
              </w:rPr>
            </w:pPr>
          </w:p>
        </w:tc>
        <w:tc>
          <w:tcPr>
            <w:tcW w:w="1367" w:type="pct"/>
            <w:shd w:val="clear" w:color="auto" w:fill="auto"/>
          </w:tcPr>
          <w:p w:rsidR="00B13164" w:rsidRPr="007E65DA" w:rsidRDefault="00B13164" w:rsidP="00AB785D">
            <w:pPr>
              <w:spacing w:after="0" w:line="360" w:lineRule="auto"/>
              <w:rPr>
                <w:rFonts w:ascii="Times New Roman" w:hAnsi="Times New Roman"/>
                <w:color w:val="000000"/>
                <w:sz w:val="20"/>
                <w:szCs w:val="20"/>
              </w:rPr>
            </w:pPr>
            <w:r>
              <w:rPr>
                <w:rFonts w:ascii="Times New Roman" w:hAnsi="Times New Roman"/>
                <w:b/>
                <w:color w:val="000000"/>
                <w:sz w:val="20"/>
                <w:szCs w:val="20"/>
              </w:rPr>
              <w:lastRenderedPageBreak/>
              <w:t>Maksymalna ilość punktów: 20</w:t>
            </w:r>
            <w:r w:rsidRPr="007E65DA">
              <w:rPr>
                <w:rFonts w:ascii="Times New Roman" w:hAnsi="Times New Roman"/>
                <w:b/>
                <w:color w:val="000000"/>
                <w:sz w:val="20"/>
                <w:szCs w:val="20"/>
              </w:rPr>
              <w:t>pkt.</w:t>
            </w:r>
          </w:p>
          <w:p w:rsidR="00B13164" w:rsidRPr="00C06091" w:rsidRDefault="00B13164" w:rsidP="00AB785D">
            <w:pPr>
              <w:spacing w:after="0" w:line="360" w:lineRule="auto"/>
              <w:rPr>
                <w:rFonts w:ascii="Times New Roman" w:hAnsi="Times New Roman"/>
                <w:color w:val="000000"/>
                <w:sz w:val="20"/>
                <w:szCs w:val="20"/>
              </w:rPr>
            </w:pPr>
            <w:r w:rsidRPr="00C06091">
              <w:rPr>
                <w:rFonts w:ascii="Times New Roman" w:hAnsi="Times New Roman"/>
                <w:color w:val="000000"/>
                <w:sz w:val="20"/>
                <w:szCs w:val="20"/>
              </w:rPr>
              <w:t>2</w:t>
            </w:r>
            <w:r>
              <w:rPr>
                <w:rFonts w:ascii="Times New Roman" w:hAnsi="Times New Roman"/>
                <w:color w:val="000000"/>
                <w:sz w:val="20"/>
                <w:szCs w:val="20"/>
              </w:rPr>
              <w:t>0 pkt. – osoba niepełnosprawne lub</w:t>
            </w:r>
            <w:r w:rsidRPr="00C06091">
              <w:rPr>
                <w:rFonts w:ascii="Times New Roman" w:hAnsi="Times New Roman"/>
                <w:color w:val="000000"/>
                <w:sz w:val="20"/>
                <w:szCs w:val="20"/>
              </w:rPr>
              <w:t xml:space="preserve"> w wieku 50+</w:t>
            </w:r>
          </w:p>
          <w:p w:rsidR="00B13164" w:rsidRPr="00C06091" w:rsidRDefault="00B13164" w:rsidP="00AB785D">
            <w:pPr>
              <w:spacing w:after="0" w:line="360" w:lineRule="auto"/>
              <w:rPr>
                <w:rFonts w:ascii="Times New Roman" w:hAnsi="Times New Roman"/>
                <w:color w:val="000000"/>
                <w:sz w:val="20"/>
                <w:szCs w:val="20"/>
              </w:rPr>
            </w:pPr>
            <w:r w:rsidRPr="00C06091">
              <w:rPr>
                <w:rFonts w:ascii="Times New Roman" w:hAnsi="Times New Roman"/>
                <w:color w:val="000000"/>
                <w:sz w:val="20"/>
                <w:szCs w:val="20"/>
              </w:rPr>
              <w:t>10 pkt. – młodzież do 25 roku życia lub kobieta w każdym wieku lub rolnik</w:t>
            </w:r>
          </w:p>
          <w:p w:rsidR="00B13164" w:rsidRPr="007E65DA" w:rsidRDefault="00B13164" w:rsidP="00AB785D">
            <w:pPr>
              <w:spacing w:after="0" w:line="360" w:lineRule="auto"/>
              <w:rPr>
                <w:rFonts w:ascii="Times New Roman" w:hAnsi="Times New Roman"/>
                <w:color w:val="000000"/>
                <w:sz w:val="20"/>
                <w:szCs w:val="20"/>
                <w:lang w:eastAsia="ar-SA"/>
              </w:rPr>
            </w:pPr>
            <w:r w:rsidRPr="00C06091">
              <w:rPr>
                <w:rFonts w:ascii="Times New Roman" w:hAnsi="Times New Roman"/>
                <w:color w:val="000000"/>
                <w:sz w:val="20"/>
                <w:szCs w:val="20"/>
              </w:rPr>
              <w:t>0 pkt. – za brak grupy</w:t>
            </w:r>
            <w:r w:rsidRPr="007E65DA">
              <w:rPr>
                <w:rFonts w:ascii="Times New Roman" w:hAnsi="Times New Roman"/>
                <w:b/>
                <w:color w:val="000000"/>
                <w:sz w:val="20"/>
                <w:szCs w:val="20"/>
                <w:lang w:eastAsia="ar-SA"/>
              </w:rPr>
              <w:br/>
            </w:r>
            <w:r w:rsidRPr="007E65DA">
              <w:rPr>
                <w:rFonts w:ascii="Times New Roman" w:hAnsi="Times New Roman"/>
                <w:b/>
                <w:color w:val="000000"/>
                <w:sz w:val="20"/>
                <w:szCs w:val="20"/>
                <w:lang w:eastAsia="ar-SA"/>
              </w:rPr>
              <w:br/>
            </w: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2</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 xml:space="preserve">Utworzenie nowych miejsc pracy </w:t>
            </w:r>
          </w:p>
        </w:tc>
        <w:tc>
          <w:tcPr>
            <w:tcW w:w="2182" w:type="pct"/>
            <w:shd w:val="clear" w:color="auto" w:fill="auto"/>
          </w:tcPr>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Operacja dotyczy utworzenia, co najmniej dwóch miejsc pracy w przeliczeniu na pełne etaty średnioroczne.</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W diagnozie zła sytuacja na rynku pracy została opisana w następujący sposób:</w:t>
            </w:r>
          </w:p>
          <w:p w:rsidR="00B13164" w:rsidRPr="007E65DA" w:rsidRDefault="00B13164" w:rsidP="00B13164">
            <w:pPr>
              <w:numPr>
                <w:ilvl w:val="0"/>
                <w:numId w:val="2"/>
              </w:numPr>
              <w:snapToGrid w:val="0"/>
              <w:spacing w:after="0" w:line="360" w:lineRule="auto"/>
              <w:rPr>
                <w:rFonts w:ascii="Times New Roman" w:hAnsi="Times New Roman"/>
                <w:color w:val="000000"/>
                <w:sz w:val="20"/>
                <w:szCs w:val="20"/>
                <w:lang w:eastAsia="ar-SA"/>
              </w:rPr>
            </w:pPr>
            <w:r w:rsidRPr="007E65DA">
              <w:rPr>
                <w:rFonts w:ascii="Times New Roman" w:eastAsia="Times New Roman" w:hAnsi="Times New Roman"/>
                <w:color w:val="000000"/>
                <w:sz w:val="20"/>
                <w:szCs w:val="20"/>
                <w:lang w:eastAsia="pl-PL"/>
              </w:rPr>
              <w:lastRenderedPageBreak/>
              <w:t>„Niska ocena przez mieszkańców możliwości znalezienia pracy i prowadzenia działalności gospodarczej na obszarze LGD oraz wsparcia dla osób bezrobotnych i ubogich, została potwierdzona niskim odsetkiem osób pracujących w stosunku do ludności w wieku produkcyjnym”.</w:t>
            </w:r>
          </w:p>
          <w:p w:rsidR="00B13164" w:rsidRPr="007E65DA" w:rsidRDefault="00B13164" w:rsidP="00B13164">
            <w:pPr>
              <w:numPr>
                <w:ilvl w:val="0"/>
                <w:numId w:val="2"/>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rPr>
              <w:t>„Standardy są zróżnicowane. Większą część stanowią obiekty powstałe przed 1990 r., obecnie zdekapitalizowane i aktualnie w różnym stopniu modernizowane”.</w:t>
            </w:r>
          </w:p>
          <w:p w:rsidR="00B13164" w:rsidRPr="007E65DA" w:rsidRDefault="00B13164" w:rsidP="00B13164">
            <w:pPr>
              <w:numPr>
                <w:ilvl w:val="0"/>
                <w:numId w:val="2"/>
              </w:num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w:t>
            </w:r>
            <w:r w:rsidRPr="007E65DA">
              <w:rPr>
                <w:rFonts w:ascii="Times New Roman" w:hAnsi="Times New Roman"/>
                <w:color w:val="000000"/>
                <w:sz w:val="20"/>
                <w:szCs w:val="20"/>
              </w:rPr>
              <w:t xml:space="preserve"> Agroturystyka na obszarze LGD rozwinięta jest słabo, zważywszy na potencjalne możliwości wynikające z korzystnych właściwości terenów”.</w:t>
            </w:r>
          </w:p>
          <w:p w:rsidR="00B13164" w:rsidRPr="007E65DA" w:rsidRDefault="00B13164" w:rsidP="00AB785D">
            <w:pPr>
              <w:snapToGrid w:val="0"/>
              <w:spacing w:after="0" w:line="360" w:lineRule="auto"/>
              <w:rPr>
                <w:rFonts w:ascii="Times New Roman" w:hAnsi="Times New Roman"/>
                <w:color w:val="000000"/>
                <w:sz w:val="20"/>
                <w:szCs w:val="20"/>
                <w:lang w:eastAsia="ar-SA"/>
              </w:rPr>
            </w:pPr>
          </w:p>
          <w:p w:rsidR="00B13164" w:rsidRDefault="00B13164" w:rsidP="00AB785D">
            <w:pPr>
              <w:pStyle w:val="Akapitzlist"/>
              <w:spacing w:after="0" w:line="360" w:lineRule="auto"/>
              <w:ind w:left="142"/>
              <w:jc w:val="both"/>
              <w:rPr>
                <w:rFonts w:ascii="Times New Roman" w:hAnsi="Times New Roman"/>
                <w:i/>
                <w:color w:val="000000"/>
                <w:sz w:val="20"/>
                <w:szCs w:val="20"/>
              </w:rPr>
            </w:pPr>
            <w:r w:rsidRPr="007E65DA">
              <w:rPr>
                <w:rFonts w:ascii="Times New Roman" w:hAnsi="Times New Roman"/>
                <w:i/>
                <w:color w:val="000000"/>
                <w:sz w:val="20"/>
                <w:szCs w:val="20"/>
              </w:rPr>
              <w:t>W ramach kryterium preferowane jest utworzenie więcej niż 1 miejsca pracy oprócz samozatrudnienia, które należy utrzymać przez okres 2 lat w przypadku podejmowania działalności gospodarczej lub 3 lat  w przypadku rozwoju działalności gospodarczej. Utworzenie 1 miejsca pracy i utrzymanie go przez 2 lata  lub 3 lat jest obowiązkowe i wynika z zapisów rozporządzenia dot. wdrażania LSR.</w:t>
            </w:r>
          </w:p>
          <w:p w:rsidR="00B13164" w:rsidRPr="007E65DA" w:rsidRDefault="00B13164" w:rsidP="00AB785D">
            <w:pPr>
              <w:pStyle w:val="Akapitzlist"/>
              <w:spacing w:after="0" w:line="360" w:lineRule="auto"/>
              <w:ind w:left="142"/>
              <w:jc w:val="both"/>
              <w:rPr>
                <w:rFonts w:ascii="Times New Roman" w:hAnsi="Times New Roman"/>
                <w:i/>
                <w:color w:val="000000"/>
                <w:sz w:val="20"/>
                <w:szCs w:val="20"/>
              </w:rPr>
            </w:pPr>
          </w:p>
          <w:p w:rsidR="00B13164" w:rsidRPr="007E65DA" w:rsidRDefault="00B13164" w:rsidP="00AB785D">
            <w:pPr>
              <w:pStyle w:val="Akapitzlist"/>
              <w:spacing w:after="0" w:line="360" w:lineRule="auto"/>
              <w:ind w:left="142"/>
              <w:jc w:val="both"/>
              <w:rPr>
                <w:rFonts w:ascii="Times New Roman" w:hAnsi="Times New Roman"/>
                <w:i/>
                <w:color w:val="000000"/>
                <w:sz w:val="20"/>
                <w:szCs w:val="20"/>
              </w:rPr>
            </w:pPr>
            <w:r w:rsidRPr="007E65DA">
              <w:rPr>
                <w:rFonts w:ascii="Times New Roman" w:hAnsi="Times New Roman"/>
                <w:i/>
                <w:color w:val="000000"/>
                <w:sz w:val="20"/>
                <w:szCs w:val="20"/>
              </w:rPr>
              <w:t>Kryterium weryfikowane będzie na podstawie zapisów w dokumentach aplikacyjnych.</w:t>
            </w:r>
          </w:p>
        </w:tc>
        <w:tc>
          <w:tcPr>
            <w:tcW w:w="1367"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lastRenderedPageBreak/>
              <w:t>Maksymalna ilość punktów: 5 pkt.</w:t>
            </w:r>
          </w:p>
          <w:p w:rsidR="00B13164" w:rsidRPr="007E65DA" w:rsidRDefault="00B13164" w:rsidP="00AB785D">
            <w:pPr>
              <w:snapToGrid w:val="0"/>
              <w:spacing w:after="0" w:line="360" w:lineRule="auto"/>
              <w:rPr>
                <w:rFonts w:ascii="Times New Roman" w:hAnsi="Times New Roman"/>
                <w:b/>
                <w:color w:val="000000"/>
                <w:sz w:val="20"/>
                <w:szCs w:val="20"/>
                <w:lang w:eastAsia="ar-SA"/>
              </w:rPr>
            </w:pP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5 pkt. – co najmniej 2 miejsca pracy</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0 pkt. – 1 miejsce pracy</w:t>
            </w:r>
          </w:p>
          <w:p w:rsidR="00B13164" w:rsidRPr="007E65DA" w:rsidRDefault="00B13164" w:rsidP="00AB785D">
            <w:pPr>
              <w:snapToGrid w:val="0"/>
              <w:spacing w:after="0" w:line="360" w:lineRule="auto"/>
              <w:rPr>
                <w:rFonts w:ascii="Times New Roman" w:hAnsi="Times New Roman"/>
                <w:b/>
                <w:color w:val="000000"/>
                <w:sz w:val="20"/>
                <w:szCs w:val="20"/>
                <w:lang w:eastAsia="ar-SA"/>
              </w:rPr>
            </w:pPr>
          </w:p>
          <w:p w:rsidR="00B13164" w:rsidRPr="007E65DA" w:rsidRDefault="00B13164" w:rsidP="00AB785D">
            <w:pPr>
              <w:snapToGrid w:val="0"/>
              <w:spacing w:after="0" w:line="360" w:lineRule="auto"/>
              <w:rPr>
                <w:rFonts w:ascii="Times New Roman" w:hAnsi="Times New Roman"/>
                <w:b/>
                <w:color w:val="000000"/>
                <w:sz w:val="20"/>
                <w:szCs w:val="20"/>
                <w:lang w:eastAsia="ar-SA"/>
              </w:rPr>
            </w:pP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3</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 xml:space="preserve">Innowacyjność operacji </w:t>
            </w:r>
          </w:p>
        </w:tc>
        <w:tc>
          <w:tcPr>
            <w:tcW w:w="2182" w:type="pct"/>
            <w:shd w:val="clear" w:color="auto" w:fill="auto"/>
            <w:vAlign w:val="center"/>
          </w:tcPr>
          <w:p w:rsidR="00B13164" w:rsidRPr="007E65DA" w:rsidRDefault="00B13164" w:rsidP="00AB785D">
            <w:pPr>
              <w:pStyle w:val="Akapitzlist"/>
              <w:spacing w:after="0" w:line="360" w:lineRule="auto"/>
              <w:ind w:left="0"/>
              <w:jc w:val="both"/>
              <w:rPr>
                <w:rFonts w:ascii="Times New Roman" w:hAnsi="Times New Roman"/>
                <w:color w:val="000000"/>
                <w:sz w:val="20"/>
                <w:szCs w:val="20"/>
              </w:rPr>
            </w:pPr>
            <w:r w:rsidRPr="007E65DA">
              <w:rPr>
                <w:rFonts w:ascii="Times New Roman" w:hAnsi="Times New Roman"/>
                <w:color w:val="000000"/>
                <w:sz w:val="20"/>
                <w:szCs w:val="20"/>
              </w:rPr>
              <w:t>Operacja przewiduje zastosowanie rozwiązań innowacyjnych na obszarze LGD lub jego części.</w:t>
            </w:r>
          </w:p>
          <w:p w:rsidR="00B13164" w:rsidRPr="007E65DA" w:rsidRDefault="00B13164" w:rsidP="00AB785D">
            <w:pPr>
              <w:spacing w:after="0" w:line="360" w:lineRule="auto"/>
              <w:jc w:val="both"/>
              <w:rPr>
                <w:rFonts w:ascii="Times New Roman" w:hAnsi="Times New Roman"/>
                <w:i/>
                <w:color w:val="000000"/>
                <w:sz w:val="20"/>
                <w:szCs w:val="20"/>
              </w:rPr>
            </w:pPr>
            <w:r w:rsidRPr="007E65DA">
              <w:rPr>
                <w:rFonts w:ascii="Times New Roman" w:hAnsi="Times New Roman"/>
                <w:i/>
                <w:color w:val="000000"/>
                <w:sz w:val="20"/>
                <w:szCs w:val="20"/>
              </w:rPr>
              <w:lastRenderedPageBreak/>
              <w:t>Przez innowację należy rozumieć prace związane z przygotowaniem i uruchomieniem wytwarzania, a także przygotowaniem do sprzedaży nowych lub udoskonalonych produktów i usług (oferty) przeznaczonych do wprowadzenia na rynek. Również innego wykorzystania w praktyce lub wprowadzenie unowocześnionego procesu dystrybucji.</w:t>
            </w:r>
            <w:r w:rsidRPr="007E65DA">
              <w:rPr>
                <w:rFonts w:ascii="Times New Roman" w:hAnsi="Times New Roman"/>
                <w:i/>
                <w:color w:val="000000"/>
                <w:sz w:val="20"/>
                <w:szCs w:val="20"/>
              </w:rPr>
              <w:br/>
              <w:t>Innowacja produktowa - to wszelkiego rodzaju zmiany polegające na udoskonaleniu wyrobu już wytwarzanego przez przedsiębiorstwo.</w:t>
            </w:r>
            <w:r w:rsidRPr="007E65DA">
              <w:rPr>
                <w:rFonts w:ascii="Times New Roman" w:hAnsi="Times New Roman"/>
                <w:i/>
                <w:color w:val="000000"/>
                <w:sz w:val="20"/>
                <w:szCs w:val="20"/>
              </w:rPr>
              <w:br/>
              <w:t>Innowacja procesowa (technologiczna) - to zmiana w stosowanych przez przedsiębiorstwo metodach wytwarzania / metodach świadczenia usług.Innowacja organizacyjna - jest wprowadzaniem nowej metody organizacji w biznesowych praktykach przedsiębiorstwa.</w:t>
            </w:r>
            <w:r w:rsidRPr="007E65DA">
              <w:rPr>
                <w:rFonts w:ascii="Times New Roman" w:hAnsi="Times New Roman"/>
                <w:i/>
                <w:color w:val="000000"/>
                <w:sz w:val="20"/>
                <w:szCs w:val="20"/>
              </w:rPr>
              <w:br/>
              <w:t>Innowacja marketingowa - to zastosowanie nowej metody marketingowej obejmującej znaczące zmiany w wyglądzie produktu, jego opakowaniu, pozycjonowaniu, promocji, polityce cenowej lub modelu biznesowym.</w:t>
            </w:r>
          </w:p>
          <w:p w:rsidR="00B13164" w:rsidRPr="007E65DA" w:rsidRDefault="00B13164" w:rsidP="00AB785D">
            <w:pPr>
              <w:spacing w:after="0" w:line="360" w:lineRule="auto"/>
              <w:jc w:val="both"/>
              <w:rPr>
                <w:rFonts w:ascii="Times New Roman" w:hAnsi="Times New Roman"/>
                <w:i/>
                <w:color w:val="000000"/>
                <w:sz w:val="20"/>
                <w:szCs w:val="20"/>
              </w:rPr>
            </w:pPr>
            <w:r w:rsidRPr="007E65DA">
              <w:rPr>
                <w:rFonts w:ascii="Times New Roman" w:hAnsi="Times New Roman"/>
                <w:i/>
                <w:color w:val="000000"/>
                <w:sz w:val="20"/>
                <w:szCs w:val="20"/>
              </w:rPr>
              <w:t>Innowacja będzie dotyczyła poszczególnych zakresów wsparcia:</w:t>
            </w:r>
          </w:p>
          <w:p w:rsidR="00B13164" w:rsidRPr="007E65DA" w:rsidRDefault="00B13164" w:rsidP="00B13164">
            <w:pPr>
              <w:numPr>
                <w:ilvl w:val="0"/>
                <w:numId w:val="3"/>
              </w:numPr>
              <w:spacing w:after="0" w:line="360" w:lineRule="auto"/>
              <w:rPr>
                <w:rFonts w:ascii="Times New Roman" w:hAnsi="Times New Roman"/>
                <w:i/>
                <w:color w:val="000000"/>
                <w:sz w:val="20"/>
                <w:szCs w:val="20"/>
              </w:rPr>
            </w:pPr>
            <w:r w:rsidRPr="007E65DA">
              <w:rPr>
                <w:rFonts w:ascii="Times New Roman" w:hAnsi="Times New Roman"/>
                <w:color w:val="000000"/>
                <w:sz w:val="20"/>
                <w:szCs w:val="20"/>
              </w:rPr>
              <w:t>Wzmocnienie kapitału społecznego, w tym z wykorzystaniem rozwiązań innowacyjnych i wspieranie partycypacji społeczności lokalnej w realizacji LSR</w:t>
            </w:r>
          </w:p>
          <w:p w:rsidR="00B13164" w:rsidRPr="007E65DA" w:rsidRDefault="00B13164" w:rsidP="00B13164">
            <w:pPr>
              <w:numPr>
                <w:ilvl w:val="0"/>
                <w:numId w:val="3"/>
              </w:numPr>
              <w:spacing w:after="0" w:line="360" w:lineRule="auto"/>
              <w:rPr>
                <w:rFonts w:ascii="Times New Roman" w:hAnsi="Times New Roman"/>
                <w:i/>
                <w:color w:val="000000"/>
                <w:sz w:val="20"/>
                <w:szCs w:val="20"/>
              </w:rPr>
            </w:pPr>
            <w:r w:rsidRPr="007E65DA">
              <w:rPr>
                <w:rFonts w:ascii="Times New Roman" w:hAnsi="Times New Roman"/>
                <w:color w:val="000000"/>
                <w:sz w:val="20"/>
                <w:szCs w:val="20"/>
              </w:rPr>
              <w:t>Dywersyfikacja źródeł dochodu , w tym tworzenie i rozwój inkubatorów przetwórstwa lokalnego tj. Infrastruktury służącej przetwarzaniu produktów rolnych w celu udostępniana jej lokalnym producentom.</w:t>
            </w:r>
          </w:p>
          <w:p w:rsidR="00B13164" w:rsidRPr="007E65DA" w:rsidRDefault="00B13164" w:rsidP="00B13164">
            <w:pPr>
              <w:numPr>
                <w:ilvl w:val="0"/>
                <w:numId w:val="3"/>
              </w:numPr>
              <w:spacing w:after="0" w:line="360" w:lineRule="auto"/>
              <w:rPr>
                <w:rFonts w:ascii="Times New Roman" w:hAnsi="Times New Roman"/>
                <w:i/>
                <w:color w:val="000000"/>
                <w:sz w:val="20"/>
                <w:szCs w:val="20"/>
              </w:rPr>
            </w:pPr>
            <w:r w:rsidRPr="007E65DA">
              <w:rPr>
                <w:rFonts w:ascii="Times New Roman" w:hAnsi="Times New Roman"/>
                <w:color w:val="000000"/>
                <w:sz w:val="20"/>
                <w:szCs w:val="20"/>
              </w:rPr>
              <w:t>Rozwój produktów lokalnych.</w:t>
            </w:r>
          </w:p>
          <w:p w:rsidR="00B13164" w:rsidRPr="007E65DA" w:rsidRDefault="00B13164" w:rsidP="00B13164">
            <w:pPr>
              <w:numPr>
                <w:ilvl w:val="0"/>
                <w:numId w:val="3"/>
              </w:numPr>
              <w:spacing w:after="0" w:line="360" w:lineRule="auto"/>
              <w:rPr>
                <w:rFonts w:ascii="Times New Roman" w:hAnsi="Times New Roman"/>
                <w:i/>
                <w:color w:val="000000"/>
                <w:sz w:val="20"/>
                <w:szCs w:val="20"/>
              </w:rPr>
            </w:pPr>
            <w:r w:rsidRPr="007E65DA">
              <w:rPr>
                <w:rFonts w:ascii="Times New Roman" w:hAnsi="Times New Roman"/>
                <w:color w:val="000000"/>
                <w:sz w:val="20"/>
                <w:szCs w:val="20"/>
              </w:rPr>
              <w:lastRenderedPageBreak/>
              <w:t>Rozwój rynków zbytu, z wyłączeniem targowisk.</w:t>
            </w:r>
          </w:p>
          <w:p w:rsidR="00B13164" w:rsidRPr="007E65DA" w:rsidRDefault="00B13164" w:rsidP="00B13164">
            <w:pPr>
              <w:numPr>
                <w:ilvl w:val="0"/>
                <w:numId w:val="3"/>
              </w:numPr>
              <w:spacing w:after="0" w:line="360" w:lineRule="auto"/>
              <w:rPr>
                <w:rFonts w:ascii="Times New Roman" w:hAnsi="Times New Roman"/>
                <w:i/>
                <w:color w:val="000000"/>
                <w:sz w:val="20"/>
                <w:szCs w:val="20"/>
              </w:rPr>
            </w:pPr>
            <w:r w:rsidRPr="007E65DA">
              <w:rPr>
                <w:rFonts w:ascii="Times New Roman" w:hAnsi="Times New Roman"/>
                <w:color w:val="000000"/>
                <w:sz w:val="20"/>
                <w:szCs w:val="20"/>
              </w:rPr>
              <w:t>Rozwój ogólnodostępnej i niekomercyjnej infrastruktury turystycznej lub rekreacyjnej, lub kulturalnej.</w:t>
            </w:r>
          </w:p>
          <w:p w:rsidR="00B13164" w:rsidRPr="007E65DA" w:rsidRDefault="00B13164" w:rsidP="00AB785D">
            <w:pPr>
              <w:spacing w:after="0" w:line="360" w:lineRule="auto"/>
              <w:jc w:val="both"/>
              <w:rPr>
                <w:rFonts w:ascii="Times New Roman" w:hAnsi="Times New Roman"/>
                <w:i/>
                <w:color w:val="000000"/>
                <w:sz w:val="20"/>
                <w:szCs w:val="20"/>
              </w:rPr>
            </w:pPr>
            <w:r w:rsidRPr="007E65DA">
              <w:rPr>
                <w:rFonts w:ascii="Times New Roman" w:hAnsi="Times New Roman"/>
                <w:i/>
                <w:color w:val="000000"/>
                <w:sz w:val="20"/>
                <w:szCs w:val="20"/>
              </w:rPr>
              <w:t xml:space="preserve">Kryterium będzie weryfikowane na podstawie zapisów </w:t>
            </w:r>
            <w:r w:rsidRPr="007E65DA">
              <w:rPr>
                <w:rFonts w:ascii="Times New Roman" w:hAnsi="Times New Roman"/>
                <w:i/>
                <w:color w:val="000000"/>
                <w:sz w:val="20"/>
                <w:szCs w:val="20"/>
              </w:rPr>
              <w:br/>
              <w:t>w dokumentach aplikacyjnych, popartych załączonymi dokumentami i materiałami poświadczającymi, że zastosowane rozwiązania mają taki charakter.</w:t>
            </w:r>
          </w:p>
          <w:p w:rsidR="00B13164" w:rsidRPr="007E65DA" w:rsidRDefault="00B13164" w:rsidP="00AB785D">
            <w:pPr>
              <w:spacing w:after="0" w:line="360" w:lineRule="auto"/>
              <w:ind w:left="48"/>
              <w:contextualSpacing/>
              <w:rPr>
                <w:rFonts w:ascii="Times New Roman" w:hAnsi="Times New Roman"/>
                <w:i/>
                <w:color w:val="000000"/>
                <w:sz w:val="20"/>
                <w:szCs w:val="20"/>
              </w:rPr>
            </w:pPr>
            <w:r w:rsidRPr="007E65DA">
              <w:rPr>
                <w:rFonts w:ascii="Times New Roman" w:hAnsi="Times New Roman"/>
                <w:i/>
                <w:color w:val="000000"/>
                <w:sz w:val="20"/>
                <w:szCs w:val="20"/>
                <w:u w:val="single"/>
              </w:rPr>
              <w:t>Członek Rady może przyznać punkty w jednej z kategorii.</w:t>
            </w:r>
          </w:p>
        </w:tc>
        <w:tc>
          <w:tcPr>
            <w:tcW w:w="1367"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lastRenderedPageBreak/>
              <w:t>Maksymalna ilość punktów: 5 pkt.</w:t>
            </w:r>
          </w:p>
          <w:p w:rsidR="00B13164" w:rsidRPr="007E65DA" w:rsidRDefault="00B13164" w:rsidP="00AB785D">
            <w:pPr>
              <w:snapToGrid w:val="0"/>
              <w:spacing w:after="0" w:line="360" w:lineRule="auto"/>
              <w:rPr>
                <w:rFonts w:ascii="Times New Roman" w:hAnsi="Times New Roman"/>
                <w:b/>
                <w:color w:val="000000"/>
                <w:sz w:val="20"/>
                <w:szCs w:val="20"/>
                <w:lang w:eastAsia="ar-SA"/>
              </w:rPr>
            </w:pP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lastRenderedPageBreak/>
              <w:t>5 pkt. – wpływa na obszar LGD</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3 pkt. – wpływa na obszar gminy</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2 pkt. – wpływa na obszar sołectwa</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0 pkt. – brak innowacyjności</w:t>
            </w: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lastRenderedPageBreak/>
              <w:t>4</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Zastosowanie rozwiązań sprzyjających ochronie środowiska lub przeciwdziałanie zmianom klimatu</w:t>
            </w:r>
          </w:p>
        </w:tc>
        <w:tc>
          <w:tcPr>
            <w:tcW w:w="2182" w:type="pct"/>
            <w:shd w:val="clear" w:color="auto" w:fill="auto"/>
          </w:tcPr>
          <w:p w:rsidR="00B13164" w:rsidRPr="007E65DA" w:rsidRDefault="00B13164" w:rsidP="00AB785D">
            <w:pPr>
              <w:pStyle w:val="Akapitzlist"/>
              <w:spacing w:after="0" w:line="360" w:lineRule="auto"/>
              <w:ind w:left="0"/>
              <w:jc w:val="both"/>
              <w:rPr>
                <w:rFonts w:ascii="Times New Roman" w:hAnsi="Times New Roman"/>
                <w:color w:val="000000"/>
                <w:sz w:val="20"/>
                <w:szCs w:val="20"/>
              </w:rPr>
            </w:pPr>
            <w:r w:rsidRPr="007E65DA">
              <w:rPr>
                <w:rFonts w:ascii="Times New Roman" w:hAnsi="Times New Roman"/>
                <w:color w:val="000000"/>
                <w:sz w:val="20"/>
                <w:szCs w:val="20"/>
              </w:rPr>
              <w:t>Operacja przewiduje zastosowanie rozwiązań sprzyjających ochronie środowiska lub przeciwdziałanie zmianom klimatu.</w:t>
            </w:r>
          </w:p>
          <w:p w:rsidR="00B13164" w:rsidRPr="007E65DA" w:rsidRDefault="00B13164" w:rsidP="00AB785D">
            <w:pPr>
              <w:pStyle w:val="Akapitzlist"/>
              <w:spacing w:after="0" w:line="360" w:lineRule="auto"/>
              <w:ind w:left="0"/>
              <w:jc w:val="both"/>
              <w:rPr>
                <w:rFonts w:ascii="Times New Roman" w:hAnsi="Times New Roman"/>
                <w:i/>
                <w:color w:val="000000"/>
                <w:sz w:val="20"/>
                <w:szCs w:val="20"/>
              </w:rPr>
            </w:pPr>
            <w:r w:rsidRPr="007E65DA">
              <w:rPr>
                <w:rFonts w:ascii="Times New Roman" w:hAnsi="Times New Roman"/>
                <w:i/>
                <w:color w:val="000000"/>
                <w:sz w:val="20"/>
                <w:szCs w:val="20"/>
              </w:rPr>
              <w:t>W ramach kryterium preferowane będą operacje sprzyjające ochronie środowiska lub przeciwdziałania zmianom klimatu. Przykładowo mogą to być działania polegające na: zwiększaniu lub rewitalizowaniu terenów zieleni, nasadzeniach drzew, krzewów, roślin, poprawie małej retencji, wymianie szczelnych gruntów na przepuszczalne, wykorzystanie odnawialnych źródeł energii, przeciwdziałanie emisji gazów, zastosowanie rozwiązań gwarantujących oszczędność surowcową, energooszczędność, oszczędność wody,  tworzenie tzw. „zielonych” miejsc pracy itp.</w:t>
            </w:r>
          </w:p>
          <w:p w:rsidR="00B13164" w:rsidRPr="007E65DA" w:rsidRDefault="00B13164" w:rsidP="00AB785D">
            <w:pPr>
              <w:spacing w:after="0" w:line="360" w:lineRule="auto"/>
              <w:jc w:val="both"/>
              <w:rPr>
                <w:rFonts w:ascii="Times New Roman" w:hAnsi="Times New Roman"/>
                <w:i/>
                <w:color w:val="000000"/>
                <w:sz w:val="20"/>
                <w:szCs w:val="20"/>
              </w:rPr>
            </w:pPr>
            <w:r w:rsidRPr="007E65DA">
              <w:rPr>
                <w:rFonts w:ascii="Times New Roman" w:hAnsi="Times New Roman"/>
                <w:i/>
                <w:color w:val="000000"/>
                <w:sz w:val="20"/>
                <w:szCs w:val="20"/>
              </w:rPr>
              <w:t>Kryterium weryfikowane będzie na podstawie zapisów w dokumentach aplikacyjnych, popartych załączonymi dokumentami i materiałami poświadczającymi, że zastosowane rozwiązania mają taki charakter.</w:t>
            </w:r>
          </w:p>
        </w:tc>
        <w:tc>
          <w:tcPr>
            <w:tcW w:w="1367"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Maksymalna ilość punktów: 5 pkt.</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 xml:space="preserve">5 pkt.– przewiduje działania sprzyjające ochronie środowiska lub przeciwdziałanie zmianom klimatu </w:t>
            </w:r>
          </w:p>
          <w:p w:rsidR="00B13164" w:rsidRPr="007E65DA" w:rsidRDefault="00B13164" w:rsidP="00AB785D">
            <w:pPr>
              <w:snapToGrid w:val="0"/>
              <w:spacing w:after="0" w:line="360" w:lineRule="auto"/>
              <w:rPr>
                <w:rFonts w:ascii="Times New Roman" w:hAnsi="Times New Roman"/>
                <w:color w:val="000000"/>
                <w:sz w:val="20"/>
                <w:szCs w:val="20"/>
              </w:rPr>
            </w:pPr>
            <w:r w:rsidRPr="007E65DA">
              <w:rPr>
                <w:rFonts w:ascii="Times New Roman" w:hAnsi="Times New Roman"/>
                <w:color w:val="000000"/>
                <w:sz w:val="20"/>
                <w:szCs w:val="20"/>
              </w:rPr>
              <w:t>0 pkt. – operacja nie przewiduje zastosowanie rozwiązań sprzyjających ochronie środowiska lub przeciwdziałaniu zmianom klimatu</w:t>
            </w: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lastRenderedPageBreak/>
              <w:t>5</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 xml:space="preserve">Promowanie operacji </w:t>
            </w:r>
          </w:p>
        </w:tc>
        <w:tc>
          <w:tcPr>
            <w:tcW w:w="2182" w:type="pct"/>
            <w:shd w:val="clear" w:color="auto" w:fill="auto"/>
          </w:tcPr>
          <w:p w:rsidR="00B13164" w:rsidRPr="007E65DA" w:rsidRDefault="00B13164" w:rsidP="00AB785D">
            <w:pPr>
              <w:pStyle w:val="Akapitzlist"/>
              <w:spacing w:after="0" w:line="360" w:lineRule="auto"/>
              <w:ind w:left="0"/>
              <w:jc w:val="both"/>
              <w:rPr>
                <w:rFonts w:ascii="Times New Roman" w:hAnsi="Times New Roman"/>
                <w:color w:val="000000"/>
                <w:sz w:val="20"/>
                <w:szCs w:val="20"/>
              </w:rPr>
            </w:pPr>
            <w:r w:rsidRPr="007E65DA">
              <w:rPr>
                <w:rFonts w:ascii="Times New Roman" w:hAnsi="Times New Roman"/>
                <w:color w:val="000000"/>
                <w:sz w:val="20"/>
                <w:szCs w:val="20"/>
              </w:rPr>
              <w:t>Operacja przewiduje działania informujące o dofinans</w:t>
            </w:r>
            <w:r>
              <w:rPr>
                <w:rFonts w:ascii="Times New Roman" w:hAnsi="Times New Roman"/>
                <w:color w:val="000000"/>
                <w:sz w:val="20"/>
                <w:szCs w:val="20"/>
              </w:rPr>
              <w:t xml:space="preserve">owaniu ze środków LSR zgodnie z </w:t>
            </w:r>
            <w:r w:rsidRPr="007E65DA">
              <w:rPr>
                <w:rFonts w:ascii="Times New Roman" w:hAnsi="Times New Roman"/>
                <w:color w:val="000000"/>
                <w:sz w:val="20"/>
                <w:szCs w:val="20"/>
              </w:rPr>
              <w:t xml:space="preserve">wytycznymi </w:t>
            </w:r>
            <w:r>
              <w:rPr>
                <w:rFonts w:ascii="Times New Roman" w:hAnsi="Times New Roman"/>
                <w:color w:val="000000"/>
                <w:sz w:val="20"/>
                <w:szCs w:val="20"/>
              </w:rPr>
              <w:t>(zamieszczenie logo Stowarzyszenia Kraina Lasów i Jezior oraz niezbędnych logotypów PROW ) poprzez następujące narzędzia:</w:t>
            </w:r>
          </w:p>
          <w:p w:rsidR="00B13164" w:rsidRPr="007E65DA" w:rsidRDefault="00B13164" w:rsidP="00B13164">
            <w:pPr>
              <w:pStyle w:val="Akapitzlist"/>
              <w:numPr>
                <w:ilvl w:val="0"/>
                <w:numId w:val="4"/>
              </w:numPr>
              <w:spacing w:after="0" w:line="360" w:lineRule="auto"/>
              <w:jc w:val="both"/>
              <w:rPr>
                <w:rFonts w:ascii="Times New Roman" w:hAnsi="Times New Roman"/>
                <w:color w:val="000000"/>
                <w:sz w:val="20"/>
                <w:szCs w:val="20"/>
              </w:rPr>
            </w:pPr>
            <w:r w:rsidRPr="007E65DA">
              <w:rPr>
                <w:rFonts w:ascii="Times New Roman" w:hAnsi="Times New Roman"/>
                <w:color w:val="000000"/>
                <w:sz w:val="20"/>
                <w:szCs w:val="20"/>
              </w:rPr>
              <w:t>tablica informacyjna</w:t>
            </w:r>
          </w:p>
          <w:p w:rsidR="00B13164" w:rsidRPr="007E65DA" w:rsidRDefault="00B13164" w:rsidP="00B13164">
            <w:pPr>
              <w:pStyle w:val="Akapitzlist"/>
              <w:numPr>
                <w:ilvl w:val="0"/>
                <w:numId w:val="4"/>
              </w:numPr>
              <w:spacing w:after="0" w:line="360" w:lineRule="auto"/>
              <w:jc w:val="both"/>
              <w:rPr>
                <w:rFonts w:ascii="Times New Roman" w:hAnsi="Times New Roman"/>
                <w:color w:val="000000"/>
                <w:sz w:val="20"/>
                <w:szCs w:val="20"/>
              </w:rPr>
            </w:pPr>
            <w:r w:rsidRPr="007E65DA">
              <w:rPr>
                <w:rFonts w:ascii="Times New Roman" w:hAnsi="Times New Roman"/>
                <w:color w:val="000000"/>
                <w:sz w:val="20"/>
                <w:szCs w:val="20"/>
              </w:rPr>
              <w:t>strony www/ portale społecznościowe</w:t>
            </w:r>
          </w:p>
          <w:p w:rsidR="00B13164" w:rsidRPr="007E65DA" w:rsidRDefault="00B13164" w:rsidP="00B13164">
            <w:pPr>
              <w:pStyle w:val="Akapitzlist"/>
              <w:numPr>
                <w:ilvl w:val="0"/>
                <w:numId w:val="4"/>
              </w:numPr>
              <w:spacing w:after="0" w:line="360" w:lineRule="auto"/>
              <w:jc w:val="both"/>
              <w:rPr>
                <w:rFonts w:ascii="Times New Roman" w:hAnsi="Times New Roman"/>
                <w:color w:val="000000"/>
                <w:sz w:val="20"/>
                <w:szCs w:val="20"/>
              </w:rPr>
            </w:pPr>
            <w:r w:rsidRPr="007E65DA">
              <w:rPr>
                <w:rFonts w:ascii="Times New Roman" w:hAnsi="Times New Roman"/>
                <w:color w:val="000000"/>
                <w:sz w:val="20"/>
                <w:szCs w:val="20"/>
              </w:rPr>
              <w:t>lokalne media</w:t>
            </w:r>
          </w:p>
          <w:p w:rsidR="00B13164" w:rsidRPr="007E65DA" w:rsidRDefault="00B13164" w:rsidP="00B13164">
            <w:pPr>
              <w:pStyle w:val="Akapitzlist"/>
              <w:numPr>
                <w:ilvl w:val="0"/>
                <w:numId w:val="4"/>
              </w:numPr>
              <w:spacing w:after="0" w:line="360" w:lineRule="auto"/>
              <w:jc w:val="both"/>
              <w:rPr>
                <w:rFonts w:ascii="Times New Roman" w:hAnsi="Times New Roman"/>
                <w:color w:val="000000"/>
                <w:sz w:val="20"/>
                <w:szCs w:val="20"/>
              </w:rPr>
            </w:pPr>
            <w:r w:rsidRPr="007E65DA">
              <w:rPr>
                <w:rFonts w:ascii="Times New Roman" w:hAnsi="Times New Roman"/>
                <w:color w:val="000000"/>
                <w:sz w:val="20"/>
                <w:szCs w:val="20"/>
              </w:rPr>
              <w:t>i inne</w:t>
            </w:r>
          </w:p>
          <w:p w:rsidR="00B13164" w:rsidRPr="007E65DA" w:rsidRDefault="00B13164" w:rsidP="00AB785D">
            <w:pPr>
              <w:pStyle w:val="Akapitzlist"/>
              <w:spacing w:after="0" w:line="360" w:lineRule="auto"/>
              <w:ind w:left="0"/>
              <w:jc w:val="both"/>
              <w:rPr>
                <w:rFonts w:ascii="Times New Roman" w:hAnsi="Times New Roman"/>
                <w:color w:val="000000"/>
                <w:sz w:val="20"/>
                <w:szCs w:val="20"/>
              </w:rPr>
            </w:pPr>
            <w:r w:rsidRPr="007E65DA">
              <w:rPr>
                <w:rFonts w:ascii="Times New Roman" w:hAnsi="Times New Roman"/>
                <w:i/>
                <w:color w:val="000000"/>
                <w:sz w:val="20"/>
                <w:szCs w:val="20"/>
                <w:u w:val="single"/>
              </w:rPr>
              <w:t>Członek Rady może przyznać punkty w jednej z kategorii.</w:t>
            </w:r>
          </w:p>
        </w:tc>
        <w:tc>
          <w:tcPr>
            <w:tcW w:w="1367"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Maksymalna ilość punktów: 3 pkt.</w:t>
            </w:r>
          </w:p>
          <w:p w:rsidR="00B13164" w:rsidRPr="007E65DA" w:rsidRDefault="00B13164" w:rsidP="00AB785D">
            <w:pPr>
              <w:snapToGrid w:val="0"/>
              <w:spacing w:after="0" w:line="360" w:lineRule="auto"/>
              <w:rPr>
                <w:rFonts w:ascii="Times New Roman" w:hAnsi="Times New Roman"/>
                <w:b/>
                <w:color w:val="000000"/>
                <w:sz w:val="20"/>
                <w:szCs w:val="20"/>
                <w:lang w:eastAsia="ar-SA"/>
              </w:rPr>
            </w:pP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3 pkt. – za promowanie poprzez co najmniej 4 narzędzia,</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1 pkt. – za promowanie poprzez co najmniej 1 narzędzie,</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0 pkt. –brak promocji</w:t>
            </w:r>
          </w:p>
          <w:p w:rsidR="00B13164" w:rsidRPr="007E65DA" w:rsidRDefault="00B13164" w:rsidP="00AB785D">
            <w:pPr>
              <w:snapToGrid w:val="0"/>
              <w:spacing w:after="0" w:line="360" w:lineRule="auto"/>
              <w:rPr>
                <w:rFonts w:ascii="Times New Roman" w:hAnsi="Times New Roman"/>
                <w:b/>
                <w:color w:val="000000"/>
                <w:sz w:val="20"/>
                <w:szCs w:val="20"/>
                <w:lang w:eastAsia="ar-SA"/>
              </w:rPr>
            </w:pP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6</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 xml:space="preserve">Wkład własny </w:t>
            </w:r>
          </w:p>
        </w:tc>
        <w:tc>
          <w:tcPr>
            <w:tcW w:w="2182" w:type="pct"/>
            <w:shd w:val="clear" w:color="auto" w:fill="auto"/>
          </w:tcPr>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Wnioskodawca zadeklarował większy udział finansowy niż został określony dla danego działania.</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W ramach kryterium preferowane będą operacje, w których finansowy wkład własny wnioskodawcy przekracza intensywność pomocy programu dla określonego przedsięwzięcia.</w:t>
            </w:r>
          </w:p>
          <w:p w:rsidR="00B13164" w:rsidRPr="007E65DA" w:rsidRDefault="00B13164" w:rsidP="00AB785D">
            <w:pPr>
              <w:pStyle w:val="Akapitzlist"/>
              <w:spacing w:after="0" w:line="360" w:lineRule="auto"/>
              <w:ind w:left="0"/>
              <w:jc w:val="both"/>
              <w:rPr>
                <w:rFonts w:ascii="Times New Roman" w:hAnsi="Times New Roman"/>
                <w:i/>
                <w:color w:val="000000"/>
                <w:sz w:val="20"/>
                <w:szCs w:val="20"/>
              </w:rPr>
            </w:pPr>
            <w:r w:rsidRPr="007E65DA">
              <w:rPr>
                <w:rFonts w:ascii="Times New Roman" w:hAnsi="Times New Roman"/>
                <w:i/>
                <w:color w:val="000000"/>
                <w:sz w:val="20"/>
                <w:szCs w:val="20"/>
              </w:rPr>
              <w:t xml:space="preserve">Kryterium weryfikowane będzie na podstawie zapisów </w:t>
            </w:r>
            <w:r w:rsidRPr="007E65DA">
              <w:rPr>
                <w:rFonts w:ascii="Times New Roman" w:hAnsi="Times New Roman"/>
                <w:i/>
                <w:color w:val="000000"/>
                <w:sz w:val="20"/>
                <w:szCs w:val="20"/>
              </w:rPr>
              <w:br/>
              <w:t xml:space="preserve">w dokumentach aplikacyjnych. </w:t>
            </w:r>
          </w:p>
        </w:tc>
        <w:tc>
          <w:tcPr>
            <w:tcW w:w="1367"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Maksymalna ilość punktów: 5 pkt.</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5 pkt -wkład finansowy przekracza o co najmniej 5% wymagany wkład własny dla danego działania</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0 pkt- nie przekracza</w:t>
            </w: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t>7</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t xml:space="preserve">Przewidziany czas realizacji projektu od podpisania umowy </w:t>
            </w:r>
          </w:p>
        </w:tc>
        <w:tc>
          <w:tcPr>
            <w:tcW w:w="2182" w:type="pct"/>
            <w:shd w:val="clear" w:color="auto" w:fill="auto"/>
          </w:tcPr>
          <w:p w:rsidR="00B13164" w:rsidRDefault="00B13164" w:rsidP="00AB785D">
            <w:pPr>
              <w:snapToGrid w:val="0"/>
              <w:spacing w:after="0" w:line="360" w:lineRule="auto"/>
              <w:rPr>
                <w:rFonts w:ascii="Times New Roman" w:hAnsi="Times New Roman"/>
                <w:color w:val="000000"/>
                <w:sz w:val="20"/>
                <w:szCs w:val="20"/>
                <w:lang w:eastAsia="ar-SA"/>
              </w:rPr>
            </w:pPr>
            <w:r>
              <w:rPr>
                <w:rFonts w:ascii="Times New Roman" w:hAnsi="Times New Roman"/>
                <w:color w:val="000000"/>
                <w:sz w:val="20"/>
                <w:szCs w:val="20"/>
                <w:lang w:eastAsia="ar-SA"/>
              </w:rPr>
              <w:t xml:space="preserve">Wnioskodawca określa czas  realizacji projektu od  momentu  podpisania umowy </w:t>
            </w:r>
          </w:p>
          <w:p w:rsidR="00B13164" w:rsidRDefault="00B13164" w:rsidP="00AB785D">
            <w:pPr>
              <w:snapToGrid w:val="0"/>
              <w:spacing w:after="0" w:line="360" w:lineRule="auto"/>
              <w:rPr>
                <w:rFonts w:ascii="Times New Roman" w:hAnsi="Times New Roman"/>
                <w:color w:val="000000"/>
                <w:sz w:val="20"/>
                <w:szCs w:val="20"/>
                <w:lang w:eastAsia="ar-SA"/>
              </w:rPr>
            </w:pPr>
          </w:p>
          <w:p w:rsidR="00B13164" w:rsidRPr="00320E0D" w:rsidRDefault="00B13164" w:rsidP="00AB785D">
            <w:pPr>
              <w:snapToGrid w:val="0"/>
              <w:spacing w:after="0" w:line="360" w:lineRule="auto"/>
              <w:rPr>
                <w:rFonts w:ascii="Times New Roman" w:hAnsi="Times New Roman"/>
                <w:i/>
                <w:color w:val="000000"/>
                <w:sz w:val="20"/>
                <w:szCs w:val="20"/>
                <w:lang w:eastAsia="ar-SA"/>
              </w:rPr>
            </w:pPr>
            <w:r>
              <w:rPr>
                <w:rFonts w:ascii="Times New Roman" w:hAnsi="Times New Roman"/>
                <w:i/>
                <w:color w:val="000000"/>
                <w:sz w:val="20"/>
                <w:szCs w:val="20"/>
                <w:lang w:eastAsia="ar-SA"/>
              </w:rPr>
              <w:t xml:space="preserve">Kryterium  weryfikowane będzie na podstawie zapisów w dokumentach aplikacyjnych. </w:t>
            </w:r>
          </w:p>
        </w:tc>
        <w:tc>
          <w:tcPr>
            <w:tcW w:w="1367" w:type="pct"/>
            <w:shd w:val="clear" w:color="auto" w:fill="auto"/>
          </w:tcPr>
          <w:p w:rsidR="00B13164"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t>Maksymalna liczba punktów: 15 pkt.</w:t>
            </w:r>
          </w:p>
          <w:p w:rsidR="00B13164" w:rsidRDefault="00B13164" w:rsidP="00AB785D">
            <w:pPr>
              <w:snapToGrid w:val="0"/>
              <w:spacing w:after="0" w:line="360" w:lineRule="auto"/>
              <w:jc w:val="both"/>
              <w:rPr>
                <w:rFonts w:ascii="Times New Roman" w:hAnsi="Times New Roman"/>
                <w:color w:val="000000"/>
                <w:sz w:val="20"/>
                <w:szCs w:val="20"/>
                <w:lang w:eastAsia="ar-SA"/>
              </w:rPr>
            </w:pPr>
            <w:r w:rsidRPr="006E7D01">
              <w:rPr>
                <w:rFonts w:ascii="Times New Roman" w:hAnsi="Times New Roman"/>
                <w:color w:val="000000"/>
                <w:sz w:val="20"/>
                <w:szCs w:val="20"/>
                <w:lang w:eastAsia="ar-SA"/>
              </w:rPr>
              <w:t>15 pkt. – czas realizacji operacji do 12 miesięcy</w:t>
            </w:r>
          </w:p>
          <w:p w:rsidR="00B13164" w:rsidRPr="006E7D01" w:rsidRDefault="00B13164" w:rsidP="00AB785D">
            <w:pPr>
              <w:snapToGrid w:val="0"/>
              <w:spacing w:after="0" w:line="360" w:lineRule="auto"/>
              <w:jc w:val="both"/>
              <w:rPr>
                <w:rFonts w:ascii="Times New Roman" w:hAnsi="Times New Roman"/>
                <w:color w:val="000000"/>
                <w:sz w:val="20"/>
                <w:szCs w:val="20"/>
                <w:lang w:eastAsia="ar-SA"/>
              </w:rPr>
            </w:pPr>
            <w:r w:rsidRPr="006E7D01">
              <w:rPr>
                <w:rFonts w:ascii="Times New Roman" w:hAnsi="Times New Roman"/>
                <w:color w:val="000000"/>
                <w:sz w:val="20"/>
                <w:szCs w:val="20"/>
                <w:lang w:eastAsia="ar-SA"/>
              </w:rPr>
              <w:t xml:space="preserve"> </w:t>
            </w:r>
          </w:p>
          <w:p w:rsidR="00B13164" w:rsidRDefault="00B13164" w:rsidP="00AB785D">
            <w:pPr>
              <w:snapToGrid w:val="0"/>
              <w:spacing w:after="0" w:line="360" w:lineRule="auto"/>
              <w:jc w:val="both"/>
              <w:rPr>
                <w:rFonts w:ascii="Times New Roman" w:hAnsi="Times New Roman"/>
                <w:color w:val="000000"/>
                <w:sz w:val="20"/>
                <w:szCs w:val="20"/>
                <w:lang w:eastAsia="ar-SA"/>
              </w:rPr>
            </w:pPr>
            <w:r w:rsidRPr="006E7D01">
              <w:rPr>
                <w:rFonts w:ascii="Times New Roman" w:hAnsi="Times New Roman"/>
                <w:color w:val="000000"/>
                <w:sz w:val="20"/>
                <w:szCs w:val="20"/>
                <w:lang w:eastAsia="ar-SA"/>
              </w:rPr>
              <w:t>10 pkt. –</w:t>
            </w:r>
            <w:r>
              <w:rPr>
                <w:rFonts w:ascii="Times New Roman" w:hAnsi="Times New Roman"/>
                <w:color w:val="000000"/>
                <w:sz w:val="20"/>
                <w:szCs w:val="20"/>
                <w:lang w:eastAsia="ar-SA"/>
              </w:rPr>
              <w:t xml:space="preserve"> </w:t>
            </w:r>
            <w:r w:rsidRPr="006E7D01">
              <w:rPr>
                <w:rFonts w:ascii="Times New Roman" w:hAnsi="Times New Roman"/>
                <w:color w:val="000000"/>
                <w:sz w:val="20"/>
                <w:szCs w:val="20"/>
                <w:lang w:eastAsia="ar-SA"/>
              </w:rPr>
              <w:t xml:space="preserve">czas realizacji operacji od 12 miesięcy do 18 miesięcy </w:t>
            </w:r>
          </w:p>
          <w:p w:rsidR="00B13164" w:rsidRPr="006E7D01" w:rsidRDefault="00B13164" w:rsidP="00AB785D">
            <w:pPr>
              <w:snapToGrid w:val="0"/>
              <w:spacing w:after="0" w:line="360" w:lineRule="auto"/>
              <w:jc w:val="both"/>
              <w:rPr>
                <w:rFonts w:ascii="Times New Roman" w:hAnsi="Times New Roman"/>
                <w:color w:val="000000"/>
                <w:sz w:val="20"/>
                <w:szCs w:val="20"/>
                <w:lang w:eastAsia="ar-SA"/>
              </w:rPr>
            </w:pPr>
          </w:p>
          <w:p w:rsidR="00B13164" w:rsidRPr="007E65DA" w:rsidRDefault="00B13164" w:rsidP="00AB785D">
            <w:pPr>
              <w:snapToGrid w:val="0"/>
              <w:spacing w:after="0" w:line="360" w:lineRule="auto"/>
              <w:jc w:val="both"/>
              <w:rPr>
                <w:rFonts w:ascii="Times New Roman" w:hAnsi="Times New Roman"/>
                <w:b/>
                <w:color w:val="000000"/>
                <w:sz w:val="20"/>
                <w:szCs w:val="20"/>
                <w:lang w:eastAsia="ar-SA"/>
              </w:rPr>
            </w:pPr>
            <w:r w:rsidRPr="006E7D01">
              <w:rPr>
                <w:rFonts w:ascii="Times New Roman" w:hAnsi="Times New Roman"/>
                <w:color w:val="000000"/>
                <w:sz w:val="20"/>
                <w:szCs w:val="20"/>
                <w:lang w:eastAsia="ar-SA"/>
              </w:rPr>
              <w:lastRenderedPageBreak/>
              <w:t>5 pkt. –</w:t>
            </w:r>
            <w:r>
              <w:rPr>
                <w:rFonts w:ascii="Times New Roman" w:hAnsi="Times New Roman"/>
                <w:color w:val="000000"/>
                <w:sz w:val="20"/>
                <w:szCs w:val="20"/>
                <w:lang w:eastAsia="ar-SA"/>
              </w:rPr>
              <w:t xml:space="preserve"> </w:t>
            </w:r>
            <w:r w:rsidRPr="006E7D01">
              <w:rPr>
                <w:rFonts w:ascii="Times New Roman" w:hAnsi="Times New Roman"/>
                <w:color w:val="000000"/>
                <w:sz w:val="20"/>
                <w:szCs w:val="20"/>
                <w:lang w:eastAsia="ar-SA"/>
              </w:rPr>
              <w:t>czas</w:t>
            </w:r>
            <w:r>
              <w:rPr>
                <w:rFonts w:ascii="Times New Roman" w:hAnsi="Times New Roman"/>
                <w:color w:val="000000"/>
                <w:sz w:val="20"/>
                <w:szCs w:val="20"/>
                <w:lang w:eastAsia="ar-SA"/>
              </w:rPr>
              <w:t xml:space="preserve"> </w:t>
            </w:r>
            <w:r w:rsidRPr="006E7D01">
              <w:rPr>
                <w:rFonts w:ascii="Times New Roman" w:hAnsi="Times New Roman"/>
                <w:color w:val="000000"/>
                <w:sz w:val="20"/>
                <w:szCs w:val="20"/>
                <w:lang w:eastAsia="ar-SA"/>
              </w:rPr>
              <w:t xml:space="preserve"> realizacji operacji od18 miesięcy do 24</w:t>
            </w:r>
            <w:r>
              <w:rPr>
                <w:rFonts w:ascii="Times New Roman" w:hAnsi="Times New Roman"/>
                <w:color w:val="000000"/>
                <w:sz w:val="20"/>
                <w:szCs w:val="20"/>
                <w:lang w:eastAsia="ar-SA"/>
              </w:rPr>
              <w:t xml:space="preserve"> </w:t>
            </w:r>
            <w:r w:rsidRPr="006E7D01">
              <w:rPr>
                <w:rFonts w:ascii="Times New Roman" w:hAnsi="Times New Roman"/>
                <w:color w:val="000000"/>
                <w:sz w:val="20"/>
                <w:szCs w:val="20"/>
                <w:lang w:eastAsia="ar-SA"/>
              </w:rPr>
              <w:t xml:space="preserve"> miesięcy 24 miesięcy</w:t>
            </w:r>
            <w:r>
              <w:rPr>
                <w:rFonts w:ascii="Times New Roman" w:hAnsi="Times New Roman"/>
                <w:b/>
                <w:color w:val="000000"/>
                <w:sz w:val="20"/>
                <w:szCs w:val="20"/>
                <w:lang w:eastAsia="ar-SA"/>
              </w:rPr>
              <w:t xml:space="preserve"> </w:t>
            </w: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lastRenderedPageBreak/>
              <w:t>8</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Jakość i kompletność wniosku</w:t>
            </w:r>
          </w:p>
        </w:tc>
        <w:tc>
          <w:tcPr>
            <w:tcW w:w="2182" w:type="pct"/>
            <w:shd w:val="clear" w:color="auto" w:fill="auto"/>
          </w:tcPr>
          <w:p w:rsidR="00B13164" w:rsidRPr="007E65DA" w:rsidRDefault="00B13164" w:rsidP="00AB785D">
            <w:pPr>
              <w:pStyle w:val="Akapitzlist"/>
              <w:spacing w:after="0" w:line="360" w:lineRule="auto"/>
              <w:ind w:left="0"/>
              <w:rPr>
                <w:rFonts w:ascii="Times New Roman" w:hAnsi="Times New Roman"/>
                <w:color w:val="000000"/>
                <w:sz w:val="20"/>
                <w:szCs w:val="20"/>
              </w:rPr>
            </w:pPr>
            <w:r w:rsidRPr="007E65DA">
              <w:rPr>
                <w:rFonts w:ascii="Times New Roman" w:hAnsi="Times New Roman"/>
                <w:color w:val="000000"/>
                <w:sz w:val="20"/>
                <w:szCs w:val="20"/>
              </w:rPr>
              <w:t xml:space="preserve">Wnioskodawca złożył wniosek, który jest kompletny, spójny, realny i dobrze opisany.  </w:t>
            </w:r>
          </w:p>
          <w:p w:rsidR="00B13164" w:rsidRPr="007E65DA" w:rsidRDefault="00B13164" w:rsidP="00AB785D">
            <w:pPr>
              <w:pStyle w:val="Akapitzlist"/>
              <w:spacing w:after="0" w:line="360" w:lineRule="auto"/>
              <w:ind w:left="0"/>
              <w:rPr>
                <w:rFonts w:ascii="Times New Roman" w:hAnsi="Times New Roman"/>
                <w:i/>
                <w:color w:val="000000"/>
                <w:sz w:val="20"/>
                <w:szCs w:val="20"/>
              </w:rPr>
            </w:pPr>
            <w:r w:rsidRPr="007E65DA">
              <w:rPr>
                <w:rFonts w:ascii="Times New Roman" w:hAnsi="Times New Roman"/>
                <w:i/>
                <w:color w:val="000000"/>
                <w:sz w:val="20"/>
                <w:szCs w:val="20"/>
              </w:rPr>
              <w:t>W ramach kryterium preferowane będą spójne i realne do realizacji operacje, o dobrze opisanych działaniach. Wniosek jest prawidłowo wypełniony, zawiera wszystkie wymagane załączniki.</w:t>
            </w:r>
          </w:p>
          <w:p w:rsidR="00B13164" w:rsidRPr="007E65DA" w:rsidRDefault="00B13164" w:rsidP="00AB785D">
            <w:pPr>
              <w:pStyle w:val="Akapitzlist"/>
              <w:spacing w:after="0" w:line="360" w:lineRule="auto"/>
              <w:ind w:left="0"/>
              <w:rPr>
                <w:rFonts w:ascii="Times New Roman" w:hAnsi="Times New Roman"/>
                <w:i/>
                <w:color w:val="000000"/>
                <w:sz w:val="20"/>
                <w:szCs w:val="20"/>
              </w:rPr>
            </w:pPr>
            <w:r w:rsidRPr="007E65DA">
              <w:rPr>
                <w:rFonts w:ascii="Times New Roman" w:hAnsi="Times New Roman"/>
                <w:i/>
                <w:color w:val="000000"/>
                <w:sz w:val="20"/>
                <w:szCs w:val="20"/>
              </w:rPr>
              <w:t>Kryterium będzie weryfikowane na podstawie zapisów we wniosku i załączonych dokumentach.</w:t>
            </w:r>
          </w:p>
          <w:p w:rsidR="00B13164" w:rsidRPr="007E65DA" w:rsidRDefault="00B13164" w:rsidP="00AB785D">
            <w:pPr>
              <w:pStyle w:val="Akapitzlist"/>
              <w:spacing w:after="0" w:line="360" w:lineRule="auto"/>
              <w:ind w:left="0"/>
              <w:rPr>
                <w:rFonts w:ascii="Times New Roman" w:hAnsi="Times New Roman"/>
                <w:color w:val="000000"/>
                <w:sz w:val="20"/>
                <w:szCs w:val="20"/>
              </w:rPr>
            </w:pPr>
            <w:r w:rsidRPr="007E65DA">
              <w:rPr>
                <w:rFonts w:ascii="Times New Roman" w:hAnsi="Times New Roman"/>
                <w:i/>
                <w:color w:val="000000"/>
                <w:sz w:val="20"/>
                <w:szCs w:val="20"/>
                <w:u w:val="single"/>
              </w:rPr>
              <w:t>Członek Rady może przyznać punkty w jednej z kategorii</w:t>
            </w:r>
          </w:p>
        </w:tc>
        <w:tc>
          <w:tcPr>
            <w:tcW w:w="1367"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Maksymalna ilość punktów: 5 pkt.</w:t>
            </w:r>
          </w:p>
          <w:p w:rsidR="00B13164" w:rsidRPr="007E65DA" w:rsidRDefault="00B13164" w:rsidP="00AB785D">
            <w:pPr>
              <w:snapToGrid w:val="0"/>
              <w:spacing w:after="0" w:line="360" w:lineRule="auto"/>
              <w:rPr>
                <w:rFonts w:ascii="Times New Roman" w:hAnsi="Times New Roman"/>
                <w:color w:val="000000"/>
                <w:sz w:val="20"/>
                <w:szCs w:val="20"/>
              </w:rPr>
            </w:pPr>
            <w:r>
              <w:rPr>
                <w:rFonts w:ascii="Times New Roman" w:hAnsi="Times New Roman"/>
                <w:color w:val="000000"/>
                <w:sz w:val="20"/>
                <w:szCs w:val="20"/>
              </w:rPr>
              <w:t>5 pkt.</w:t>
            </w:r>
            <w:r w:rsidRPr="007E65DA">
              <w:rPr>
                <w:rFonts w:ascii="Times New Roman" w:hAnsi="Times New Roman"/>
                <w:color w:val="000000"/>
                <w:sz w:val="20"/>
                <w:szCs w:val="20"/>
              </w:rPr>
              <w:t>- wniosek jest kompletny, spójny, realny, poprawnie wypełniony</w:t>
            </w:r>
          </w:p>
          <w:p w:rsidR="00B13164" w:rsidRPr="007E65DA" w:rsidRDefault="00B13164" w:rsidP="00AB785D">
            <w:pPr>
              <w:snapToGrid w:val="0"/>
              <w:spacing w:after="0" w:line="360" w:lineRule="auto"/>
              <w:rPr>
                <w:rFonts w:ascii="Times New Roman" w:hAnsi="Times New Roman"/>
                <w:color w:val="000000"/>
                <w:sz w:val="20"/>
                <w:szCs w:val="20"/>
              </w:rPr>
            </w:pPr>
            <w:r w:rsidRPr="007E65DA">
              <w:rPr>
                <w:rFonts w:ascii="Times New Roman" w:hAnsi="Times New Roman"/>
                <w:color w:val="000000"/>
                <w:sz w:val="20"/>
                <w:szCs w:val="20"/>
              </w:rPr>
              <w:t>3 pkt</w:t>
            </w:r>
            <w:r>
              <w:rPr>
                <w:rFonts w:ascii="Times New Roman" w:hAnsi="Times New Roman"/>
                <w:color w:val="000000"/>
                <w:sz w:val="20"/>
                <w:szCs w:val="20"/>
              </w:rPr>
              <w:t>.</w:t>
            </w:r>
            <w:r w:rsidRPr="007E65DA">
              <w:rPr>
                <w:rFonts w:ascii="Times New Roman" w:hAnsi="Times New Roman"/>
                <w:color w:val="000000"/>
                <w:sz w:val="20"/>
                <w:szCs w:val="20"/>
              </w:rPr>
              <w:t xml:space="preserve"> - wniosek jest kompletny</w:t>
            </w:r>
          </w:p>
          <w:p w:rsidR="00B13164" w:rsidRPr="007E65DA" w:rsidRDefault="00B13164" w:rsidP="00AB785D">
            <w:pPr>
              <w:snapToGrid w:val="0"/>
              <w:spacing w:after="0" w:line="360" w:lineRule="auto"/>
              <w:rPr>
                <w:rFonts w:ascii="Times New Roman" w:hAnsi="Times New Roman"/>
                <w:color w:val="000000"/>
                <w:sz w:val="20"/>
                <w:szCs w:val="20"/>
              </w:rPr>
            </w:pPr>
            <w:r>
              <w:rPr>
                <w:rFonts w:ascii="Times New Roman" w:hAnsi="Times New Roman"/>
                <w:color w:val="000000"/>
                <w:sz w:val="20"/>
                <w:szCs w:val="20"/>
              </w:rPr>
              <w:t>0 pkt.</w:t>
            </w:r>
            <w:r w:rsidRPr="007E65DA">
              <w:rPr>
                <w:rFonts w:ascii="Times New Roman" w:hAnsi="Times New Roman"/>
                <w:color w:val="000000"/>
                <w:sz w:val="20"/>
                <w:szCs w:val="20"/>
              </w:rPr>
              <w:t>- brak spójności i kompletności wniosku</w:t>
            </w:r>
          </w:p>
          <w:p w:rsidR="00B13164" w:rsidRPr="007E65DA" w:rsidRDefault="00B13164" w:rsidP="00AB785D">
            <w:pPr>
              <w:snapToGrid w:val="0"/>
              <w:spacing w:after="0" w:line="360" w:lineRule="auto"/>
              <w:rPr>
                <w:rFonts w:ascii="Times New Roman" w:hAnsi="Times New Roman"/>
                <w:color w:val="000000"/>
                <w:sz w:val="20"/>
                <w:szCs w:val="20"/>
                <w:lang w:eastAsia="ar-SA"/>
              </w:rPr>
            </w:pP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t>9</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Operacje wspierające produkty lokalne</w:t>
            </w:r>
          </w:p>
        </w:tc>
        <w:tc>
          <w:tcPr>
            <w:tcW w:w="2182" w:type="pct"/>
            <w:shd w:val="clear" w:color="auto" w:fill="auto"/>
          </w:tcPr>
          <w:p w:rsidR="00B13164" w:rsidRPr="007E65DA" w:rsidRDefault="00B13164" w:rsidP="00AB785D">
            <w:pPr>
              <w:spacing w:after="0" w:line="360" w:lineRule="auto"/>
              <w:ind w:left="48"/>
              <w:contextualSpacing/>
              <w:jc w:val="both"/>
              <w:rPr>
                <w:rFonts w:ascii="Times New Roman" w:hAnsi="Times New Roman"/>
                <w:color w:val="000000"/>
                <w:sz w:val="20"/>
                <w:szCs w:val="20"/>
              </w:rPr>
            </w:pPr>
            <w:r w:rsidRPr="007E65DA">
              <w:rPr>
                <w:rFonts w:ascii="Times New Roman" w:hAnsi="Times New Roman"/>
                <w:color w:val="000000"/>
                <w:sz w:val="20"/>
                <w:szCs w:val="20"/>
              </w:rPr>
              <w:t>Wnioskodawca w ramach operacji planuje wsparcie produktów</w:t>
            </w:r>
            <w:r>
              <w:rPr>
                <w:rFonts w:ascii="Times New Roman" w:hAnsi="Times New Roman"/>
                <w:color w:val="000000"/>
                <w:sz w:val="20"/>
                <w:szCs w:val="20"/>
              </w:rPr>
              <w:t xml:space="preserve"> </w:t>
            </w:r>
            <w:r w:rsidRPr="007E65DA">
              <w:rPr>
                <w:rFonts w:ascii="Times New Roman" w:hAnsi="Times New Roman"/>
                <w:color w:val="000000"/>
                <w:sz w:val="20"/>
                <w:szCs w:val="20"/>
              </w:rPr>
              <w:t xml:space="preserve"> lokalnych.</w:t>
            </w:r>
          </w:p>
          <w:p w:rsidR="00B13164" w:rsidRPr="007E65DA" w:rsidRDefault="00B13164" w:rsidP="00AB785D">
            <w:pPr>
              <w:spacing w:after="0" w:line="360" w:lineRule="auto"/>
              <w:ind w:left="48"/>
              <w:contextualSpacing/>
              <w:jc w:val="both"/>
              <w:rPr>
                <w:rFonts w:ascii="Times New Roman" w:hAnsi="Times New Roman"/>
                <w:color w:val="000000"/>
                <w:sz w:val="20"/>
                <w:szCs w:val="20"/>
              </w:rPr>
            </w:pPr>
            <w:r w:rsidRPr="007E65DA">
              <w:rPr>
                <w:rFonts w:ascii="Times New Roman" w:hAnsi="Times New Roman"/>
                <w:color w:val="000000"/>
                <w:sz w:val="20"/>
                <w:szCs w:val="20"/>
              </w:rPr>
              <w:t>Preferowane będą operacje wykorzystujące produkty lokalne w celu zachowania dziedzictwa lokalnego, w zakresie kulturowym, historycznym, przyrodniczym, co znalazło odniesienie w diagnozie:</w:t>
            </w:r>
          </w:p>
          <w:p w:rsidR="00B13164" w:rsidRPr="007E65DA" w:rsidRDefault="00B13164" w:rsidP="00AB785D">
            <w:pPr>
              <w:spacing w:after="0" w:line="360" w:lineRule="auto"/>
              <w:ind w:left="48"/>
              <w:contextualSpacing/>
              <w:jc w:val="both"/>
              <w:rPr>
                <w:rFonts w:ascii="Times New Roman" w:hAnsi="Times New Roman"/>
                <w:color w:val="000000"/>
                <w:sz w:val="20"/>
                <w:szCs w:val="20"/>
              </w:rPr>
            </w:pPr>
            <w:r w:rsidRPr="007E65DA">
              <w:rPr>
                <w:rFonts w:ascii="Times New Roman" w:hAnsi="Times New Roman"/>
                <w:color w:val="000000"/>
                <w:sz w:val="20"/>
                <w:szCs w:val="20"/>
              </w:rPr>
              <w:t>„Istotne jest, aby dany wytwór został poprzez wykreowanie jednoznacznie utożsamiony z własnym terenem. Najlepiej, rzecz jasna, aby produkt ze swej istoty jednoznacznie łączył się z właściwymi dla tego terenu cechami naturalnymi lub kulturowymi”.</w:t>
            </w:r>
          </w:p>
        </w:tc>
        <w:tc>
          <w:tcPr>
            <w:tcW w:w="1367"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Maksymalna ilość punktów: 5 pkt.</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5 pkt</w:t>
            </w:r>
            <w:r>
              <w:rPr>
                <w:rFonts w:ascii="Times New Roman" w:hAnsi="Times New Roman"/>
                <w:color w:val="000000"/>
                <w:sz w:val="20"/>
                <w:szCs w:val="20"/>
                <w:lang w:eastAsia="ar-SA"/>
              </w:rPr>
              <w:t>.</w:t>
            </w:r>
            <w:r w:rsidRPr="007E65DA">
              <w:rPr>
                <w:rFonts w:ascii="Times New Roman" w:hAnsi="Times New Roman"/>
                <w:color w:val="000000"/>
                <w:sz w:val="20"/>
                <w:szCs w:val="20"/>
                <w:lang w:eastAsia="ar-SA"/>
              </w:rPr>
              <w:t xml:space="preserve"> – operacja wykorzystuje produkty lokalne,</w:t>
            </w: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0 pkt</w:t>
            </w:r>
            <w:r>
              <w:rPr>
                <w:rFonts w:ascii="Times New Roman" w:hAnsi="Times New Roman"/>
                <w:color w:val="000000"/>
                <w:sz w:val="20"/>
                <w:szCs w:val="20"/>
                <w:lang w:eastAsia="ar-SA"/>
              </w:rPr>
              <w:t>.</w:t>
            </w:r>
            <w:r w:rsidRPr="007E65DA">
              <w:rPr>
                <w:rFonts w:ascii="Times New Roman" w:hAnsi="Times New Roman"/>
                <w:color w:val="000000"/>
                <w:sz w:val="20"/>
                <w:szCs w:val="20"/>
                <w:lang w:eastAsia="ar-SA"/>
              </w:rPr>
              <w:t xml:space="preserve"> – operacja nie wykorzystuje produktów lokalnych.</w:t>
            </w:r>
          </w:p>
        </w:tc>
      </w:tr>
      <w:tr w:rsidR="00B13164" w:rsidRPr="007E65DA" w:rsidTr="00AB785D">
        <w:trPr>
          <w:trHeight w:val="394"/>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t>10</w:t>
            </w:r>
          </w:p>
        </w:tc>
        <w:tc>
          <w:tcPr>
            <w:tcW w:w="1113" w:type="pct"/>
            <w:shd w:val="clear" w:color="auto" w:fill="auto"/>
          </w:tcPr>
          <w:p w:rsidR="00B13164" w:rsidRPr="007E65DA" w:rsidRDefault="00B13164" w:rsidP="00AB785D">
            <w:pPr>
              <w:pStyle w:val="Bezodstpw"/>
              <w:spacing w:line="360" w:lineRule="auto"/>
              <w:rPr>
                <w:rFonts w:ascii="Times New Roman" w:hAnsi="Times New Roman"/>
                <w:b/>
                <w:color w:val="000000"/>
                <w:sz w:val="20"/>
                <w:szCs w:val="20"/>
              </w:rPr>
            </w:pPr>
            <w:r>
              <w:rPr>
                <w:rFonts w:ascii="Times New Roman" w:hAnsi="Times New Roman"/>
                <w:b/>
                <w:color w:val="000000"/>
                <w:sz w:val="20"/>
                <w:szCs w:val="20"/>
              </w:rPr>
              <w:t xml:space="preserve">Czy miejsce zamieszkania /siedziby  wnioskodawcy mieści się na terenie miejscowości , której liczba wynosi : </w:t>
            </w:r>
          </w:p>
          <w:p w:rsidR="00B13164" w:rsidRPr="007E65DA" w:rsidRDefault="00B13164" w:rsidP="00AB785D">
            <w:pPr>
              <w:pStyle w:val="Bezodstpw"/>
              <w:spacing w:line="360" w:lineRule="auto"/>
              <w:rPr>
                <w:rFonts w:ascii="Times New Roman" w:hAnsi="Times New Roman"/>
                <w:b/>
                <w:strike/>
                <w:color w:val="000000"/>
                <w:sz w:val="20"/>
                <w:szCs w:val="20"/>
                <w:lang w:eastAsia="ar-SA"/>
              </w:rPr>
            </w:pPr>
          </w:p>
        </w:tc>
        <w:tc>
          <w:tcPr>
            <w:tcW w:w="2182" w:type="pct"/>
            <w:shd w:val="clear" w:color="auto" w:fill="auto"/>
          </w:tcPr>
          <w:p w:rsidR="00B13164" w:rsidRDefault="00B13164" w:rsidP="00AB785D">
            <w:pPr>
              <w:pStyle w:val="Bezodstpw"/>
              <w:spacing w:line="360" w:lineRule="auto"/>
              <w:rPr>
                <w:rFonts w:ascii="Times New Roman" w:hAnsi="Times New Roman"/>
                <w:color w:val="000000"/>
                <w:sz w:val="20"/>
                <w:szCs w:val="20"/>
              </w:rPr>
            </w:pPr>
            <w:r>
              <w:rPr>
                <w:rFonts w:ascii="Times New Roman" w:hAnsi="Times New Roman"/>
                <w:color w:val="000000"/>
                <w:sz w:val="20"/>
                <w:szCs w:val="20"/>
              </w:rPr>
              <w:lastRenderedPageBreak/>
              <w:t>Miejsce zamieszkania /siedziby  wnioskodawcy  mieści się na terenie miejscowości  zamieszkałej przez mniej niż 5 tys. mieszkańców.</w:t>
            </w:r>
          </w:p>
          <w:p w:rsidR="00B13164" w:rsidRPr="007E65DA" w:rsidRDefault="00B13164" w:rsidP="00AB785D">
            <w:pPr>
              <w:pStyle w:val="Bezodstpw"/>
              <w:spacing w:line="360" w:lineRule="auto"/>
              <w:rPr>
                <w:rFonts w:ascii="Times New Roman" w:hAnsi="Times New Roman"/>
                <w:color w:val="000000"/>
                <w:sz w:val="20"/>
                <w:szCs w:val="20"/>
              </w:rPr>
            </w:pPr>
          </w:p>
          <w:p w:rsidR="00B13164" w:rsidRPr="007E65DA" w:rsidRDefault="00B13164" w:rsidP="00AB785D">
            <w:pPr>
              <w:pStyle w:val="Bezodstpw"/>
              <w:spacing w:line="360" w:lineRule="auto"/>
              <w:rPr>
                <w:rFonts w:ascii="Times New Roman" w:hAnsi="Times New Roman"/>
                <w:color w:val="000000"/>
                <w:sz w:val="20"/>
                <w:szCs w:val="20"/>
              </w:rPr>
            </w:pPr>
            <w:r w:rsidRPr="007E65DA">
              <w:rPr>
                <w:rFonts w:ascii="Times New Roman" w:hAnsi="Times New Roman"/>
                <w:color w:val="000000"/>
                <w:sz w:val="20"/>
                <w:szCs w:val="20"/>
              </w:rPr>
              <w:lastRenderedPageBreak/>
              <w:t>Weryfikacja nastąpi na podstawie danych z ewidencji ludności z poszczególnych urzędów gmin należących do LGD  według stanu na dzień 31 grudnia roku poprzedzającego złożenie</w:t>
            </w:r>
            <w:r w:rsidRPr="007E65DA">
              <w:rPr>
                <w:rFonts w:ascii="Times New Roman" w:hAnsi="Times New Roman"/>
                <w:color w:val="000000"/>
                <w:sz w:val="20"/>
                <w:szCs w:val="20"/>
                <w:u w:val="single"/>
              </w:rPr>
              <w:t xml:space="preserve"> </w:t>
            </w:r>
            <w:r w:rsidRPr="007E65DA">
              <w:rPr>
                <w:rFonts w:ascii="Times New Roman" w:hAnsi="Times New Roman"/>
                <w:color w:val="000000"/>
                <w:sz w:val="20"/>
                <w:szCs w:val="20"/>
              </w:rPr>
              <w:t xml:space="preserve">wniosku. </w:t>
            </w:r>
          </w:p>
        </w:tc>
        <w:tc>
          <w:tcPr>
            <w:tcW w:w="1367" w:type="pct"/>
            <w:shd w:val="clear" w:color="auto" w:fill="auto"/>
          </w:tcPr>
          <w:p w:rsidR="00B13164" w:rsidRDefault="00B13164" w:rsidP="00AB785D">
            <w:pPr>
              <w:pStyle w:val="Bezodstpw"/>
              <w:spacing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lastRenderedPageBreak/>
              <w:t>Maksymalna ilość punktów: 8</w:t>
            </w:r>
            <w:r w:rsidRPr="007E65DA">
              <w:rPr>
                <w:rFonts w:ascii="Times New Roman" w:hAnsi="Times New Roman"/>
                <w:b/>
                <w:color w:val="000000"/>
                <w:sz w:val="20"/>
                <w:szCs w:val="20"/>
                <w:lang w:eastAsia="ar-SA"/>
              </w:rPr>
              <w:t xml:space="preserve"> pkt.</w:t>
            </w:r>
          </w:p>
          <w:p w:rsidR="00B13164" w:rsidRPr="00051A9C" w:rsidRDefault="00B13164" w:rsidP="00AB785D">
            <w:pPr>
              <w:pStyle w:val="Bezodstpw"/>
              <w:spacing w:line="360" w:lineRule="auto"/>
              <w:rPr>
                <w:rFonts w:ascii="Times New Roman" w:hAnsi="Times New Roman"/>
                <w:color w:val="000000"/>
                <w:sz w:val="20"/>
                <w:szCs w:val="20"/>
                <w:lang w:eastAsia="ar-SA"/>
              </w:rPr>
            </w:pPr>
            <w:r w:rsidRPr="00051A9C">
              <w:rPr>
                <w:rFonts w:ascii="Times New Roman" w:hAnsi="Times New Roman"/>
                <w:color w:val="000000"/>
                <w:sz w:val="20"/>
                <w:szCs w:val="20"/>
                <w:lang w:eastAsia="ar-SA"/>
              </w:rPr>
              <w:t>8 pkt. –</w:t>
            </w:r>
            <w:r>
              <w:rPr>
                <w:rFonts w:ascii="Times New Roman" w:hAnsi="Times New Roman"/>
                <w:color w:val="000000"/>
                <w:sz w:val="20"/>
                <w:szCs w:val="20"/>
                <w:lang w:eastAsia="ar-SA"/>
              </w:rPr>
              <w:t xml:space="preserve"> </w:t>
            </w:r>
            <w:r w:rsidRPr="00051A9C">
              <w:rPr>
                <w:rFonts w:ascii="Times New Roman" w:hAnsi="Times New Roman"/>
                <w:color w:val="000000"/>
                <w:sz w:val="20"/>
                <w:szCs w:val="20"/>
                <w:lang w:eastAsia="ar-SA"/>
              </w:rPr>
              <w:t>miejsce zamieszkania /siedziby wnioskodawcy jest w miejscowości  do 1000 mieszkańców</w:t>
            </w:r>
            <w:r>
              <w:rPr>
                <w:rFonts w:ascii="Times New Roman" w:hAnsi="Times New Roman"/>
                <w:color w:val="000000"/>
                <w:sz w:val="20"/>
                <w:szCs w:val="20"/>
                <w:lang w:eastAsia="ar-SA"/>
              </w:rPr>
              <w:t>,</w:t>
            </w:r>
          </w:p>
          <w:p w:rsidR="00B13164" w:rsidRDefault="00B13164" w:rsidP="00AB785D">
            <w:pPr>
              <w:pStyle w:val="Bezodstpw"/>
              <w:spacing w:line="360" w:lineRule="auto"/>
              <w:rPr>
                <w:rFonts w:ascii="Times New Roman" w:hAnsi="Times New Roman"/>
                <w:color w:val="000000"/>
                <w:sz w:val="20"/>
                <w:szCs w:val="20"/>
                <w:lang w:eastAsia="ar-SA"/>
              </w:rPr>
            </w:pPr>
            <w:r w:rsidRPr="00051A9C">
              <w:rPr>
                <w:rFonts w:ascii="Times New Roman" w:hAnsi="Times New Roman"/>
                <w:color w:val="000000"/>
                <w:sz w:val="20"/>
                <w:szCs w:val="20"/>
                <w:lang w:eastAsia="ar-SA"/>
              </w:rPr>
              <w:lastRenderedPageBreak/>
              <w:t>7 pkt. – miejsce zamieszkania /siedziby wnioskodawcy jest w miejscowości od 1001 do 2000 mieszkańców</w:t>
            </w:r>
            <w:r>
              <w:rPr>
                <w:rFonts w:ascii="Times New Roman" w:hAnsi="Times New Roman"/>
                <w:color w:val="000000"/>
                <w:sz w:val="20"/>
                <w:szCs w:val="20"/>
                <w:lang w:eastAsia="ar-SA"/>
              </w:rPr>
              <w:t>,</w:t>
            </w:r>
            <w:r w:rsidRPr="00051A9C">
              <w:rPr>
                <w:rFonts w:ascii="Times New Roman" w:hAnsi="Times New Roman"/>
                <w:color w:val="000000"/>
                <w:sz w:val="20"/>
                <w:szCs w:val="20"/>
                <w:lang w:eastAsia="ar-SA"/>
              </w:rPr>
              <w:t xml:space="preserve"> </w:t>
            </w:r>
          </w:p>
          <w:p w:rsidR="00B13164" w:rsidRPr="007E65DA" w:rsidRDefault="00B13164" w:rsidP="00AB785D">
            <w:pPr>
              <w:pStyle w:val="Bezodstpw"/>
              <w:spacing w:line="360" w:lineRule="auto"/>
              <w:rPr>
                <w:rFonts w:ascii="Times New Roman" w:hAnsi="Times New Roman"/>
                <w:color w:val="000000"/>
                <w:sz w:val="20"/>
                <w:szCs w:val="20"/>
                <w:lang w:eastAsia="ar-SA"/>
              </w:rPr>
            </w:pPr>
            <w:r>
              <w:rPr>
                <w:rFonts w:ascii="Times New Roman" w:hAnsi="Times New Roman"/>
                <w:color w:val="000000"/>
                <w:sz w:val="20"/>
                <w:szCs w:val="20"/>
                <w:lang w:eastAsia="ar-SA"/>
              </w:rPr>
              <w:t>6 pkt. – miejsce zamieszkania/siedziby wnioskodawcy jest w miejscowości od 2001 do 4000 mieszkańców,</w:t>
            </w:r>
          </w:p>
          <w:p w:rsidR="00B13164" w:rsidRPr="007E65DA" w:rsidRDefault="00B13164" w:rsidP="00AB785D">
            <w:pPr>
              <w:pStyle w:val="Bezodstpw"/>
              <w:spacing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5 pkt</w:t>
            </w:r>
            <w:r>
              <w:rPr>
                <w:rFonts w:ascii="Times New Roman" w:hAnsi="Times New Roman"/>
                <w:color w:val="000000"/>
                <w:sz w:val="20"/>
                <w:szCs w:val="20"/>
                <w:lang w:eastAsia="ar-SA"/>
              </w:rPr>
              <w:t>.</w:t>
            </w:r>
            <w:r w:rsidRPr="007E65DA">
              <w:rPr>
                <w:rFonts w:ascii="Times New Roman" w:hAnsi="Times New Roman"/>
                <w:color w:val="000000"/>
                <w:sz w:val="20"/>
                <w:szCs w:val="20"/>
                <w:lang w:eastAsia="ar-SA"/>
              </w:rPr>
              <w:t xml:space="preserve"> – </w:t>
            </w:r>
            <w:r>
              <w:rPr>
                <w:rFonts w:ascii="Times New Roman" w:hAnsi="Times New Roman"/>
                <w:color w:val="000000"/>
                <w:sz w:val="20"/>
                <w:szCs w:val="20"/>
                <w:lang w:eastAsia="ar-SA"/>
              </w:rPr>
              <w:t>miejsce zamieszkania /siedziby wnioskodawcy jest w miejscowości od 4001 do 5000  mieszkańców,</w:t>
            </w:r>
          </w:p>
          <w:p w:rsidR="00B13164" w:rsidRPr="007E65DA" w:rsidRDefault="00B13164" w:rsidP="00AB785D">
            <w:pPr>
              <w:pStyle w:val="Bezodstpw"/>
              <w:spacing w:line="360" w:lineRule="auto"/>
              <w:ind w:left="33"/>
              <w:rPr>
                <w:rFonts w:ascii="Times New Roman" w:hAnsi="Times New Roman"/>
                <w:color w:val="000000"/>
                <w:sz w:val="20"/>
                <w:szCs w:val="20"/>
                <w:lang w:eastAsia="ar-SA"/>
              </w:rPr>
            </w:pPr>
            <w:r w:rsidRPr="007E65DA">
              <w:rPr>
                <w:rFonts w:ascii="Times New Roman" w:hAnsi="Times New Roman"/>
                <w:color w:val="000000"/>
                <w:sz w:val="20"/>
                <w:szCs w:val="20"/>
                <w:lang w:eastAsia="ar-SA"/>
              </w:rPr>
              <w:t>0 pkt</w:t>
            </w:r>
            <w:r>
              <w:rPr>
                <w:rFonts w:ascii="Times New Roman" w:hAnsi="Times New Roman"/>
                <w:color w:val="000000"/>
                <w:sz w:val="20"/>
                <w:szCs w:val="20"/>
                <w:lang w:eastAsia="ar-SA"/>
              </w:rPr>
              <w:t>.</w:t>
            </w:r>
            <w:r w:rsidRPr="007E65DA">
              <w:rPr>
                <w:rFonts w:ascii="Times New Roman" w:hAnsi="Times New Roman"/>
                <w:color w:val="000000"/>
                <w:sz w:val="20"/>
                <w:szCs w:val="20"/>
                <w:lang w:eastAsia="ar-SA"/>
              </w:rPr>
              <w:t xml:space="preserve"> – realizacja operacji w miejscowości powyżej </w:t>
            </w:r>
            <w:r>
              <w:rPr>
                <w:rFonts w:ascii="Times New Roman" w:hAnsi="Times New Roman"/>
                <w:color w:val="000000"/>
                <w:sz w:val="20"/>
                <w:szCs w:val="20"/>
                <w:lang w:eastAsia="ar-SA"/>
              </w:rPr>
              <w:t xml:space="preserve">5000 </w:t>
            </w:r>
            <w:r w:rsidRPr="007E65DA">
              <w:rPr>
                <w:rFonts w:ascii="Times New Roman" w:hAnsi="Times New Roman"/>
                <w:color w:val="000000"/>
                <w:sz w:val="20"/>
                <w:szCs w:val="20"/>
                <w:lang w:eastAsia="ar-SA"/>
              </w:rPr>
              <w:t>mieszkańców</w:t>
            </w:r>
            <w:r>
              <w:rPr>
                <w:rFonts w:ascii="Times New Roman" w:hAnsi="Times New Roman"/>
                <w:color w:val="000000"/>
                <w:sz w:val="20"/>
                <w:szCs w:val="20"/>
                <w:lang w:eastAsia="ar-SA"/>
              </w:rPr>
              <w:t>.</w:t>
            </w:r>
          </w:p>
        </w:tc>
      </w:tr>
      <w:tr w:rsidR="00B13164" w:rsidRPr="007E65DA" w:rsidTr="00AB785D">
        <w:trPr>
          <w:trHeight w:val="570"/>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lastRenderedPageBreak/>
              <w:t>11</w:t>
            </w:r>
          </w:p>
        </w:tc>
        <w:tc>
          <w:tcPr>
            <w:tcW w:w="1113" w:type="pct"/>
            <w:shd w:val="clear" w:color="auto" w:fill="auto"/>
          </w:tcPr>
          <w:p w:rsidR="00B13164" w:rsidRPr="007E65DA" w:rsidRDefault="00B13164" w:rsidP="00AB785D">
            <w:pPr>
              <w:pStyle w:val="Bezodstpw"/>
              <w:spacing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Zakres podejmowanej lub rozwijanej działalności przyczynia się do rozwoju gospodarczego w kierunkach wskazanych w LSR</w:t>
            </w:r>
          </w:p>
        </w:tc>
        <w:tc>
          <w:tcPr>
            <w:tcW w:w="2182" w:type="pct"/>
            <w:shd w:val="clear" w:color="auto" w:fill="auto"/>
          </w:tcPr>
          <w:p w:rsidR="00B13164" w:rsidRPr="007E65DA" w:rsidRDefault="00B13164" w:rsidP="00AB785D">
            <w:pPr>
              <w:spacing w:after="0" w:line="360" w:lineRule="auto"/>
              <w:jc w:val="both"/>
              <w:rPr>
                <w:rFonts w:ascii="Times New Roman" w:hAnsi="Times New Roman"/>
                <w:color w:val="000000"/>
                <w:sz w:val="20"/>
                <w:szCs w:val="20"/>
              </w:rPr>
            </w:pPr>
            <w:r w:rsidRPr="007E65DA">
              <w:rPr>
                <w:rFonts w:ascii="Times New Roman" w:hAnsi="Times New Roman"/>
                <w:color w:val="000000"/>
                <w:sz w:val="20"/>
                <w:szCs w:val="20"/>
              </w:rPr>
              <w:t xml:space="preserve">Zakres podejmowanej lub rozwijanej działalności przyczynia się do rozwoju gospodarczego w kierunkach wskazanych jako ważne w LSR dla obszaru LGD. </w:t>
            </w:r>
          </w:p>
          <w:p w:rsidR="00B13164" w:rsidRPr="007E65DA" w:rsidRDefault="00B13164" w:rsidP="00AB785D">
            <w:pPr>
              <w:spacing w:after="0" w:line="360" w:lineRule="auto"/>
              <w:ind w:left="48"/>
              <w:contextualSpacing/>
              <w:rPr>
                <w:rFonts w:ascii="Times New Roman" w:hAnsi="Times New Roman"/>
                <w:i/>
                <w:color w:val="000000"/>
                <w:sz w:val="20"/>
                <w:szCs w:val="20"/>
              </w:rPr>
            </w:pPr>
            <w:r w:rsidRPr="007E65DA">
              <w:rPr>
                <w:rFonts w:ascii="Times New Roman" w:hAnsi="Times New Roman"/>
                <w:i/>
                <w:color w:val="000000"/>
                <w:sz w:val="20"/>
                <w:szCs w:val="20"/>
              </w:rPr>
              <w:t>Jako ważne dla dalszego rozwoju obszaru LSR w dokumencie strategicznym jakim jest LSR na lata 2014-2020 uznano turystykę oraz zmniejszenie bezrobocia zatem pogrupowano rodzaje działalności na następujące zakresy:</w:t>
            </w:r>
          </w:p>
          <w:p w:rsidR="00B13164" w:rsidRPr="007E65DA" w:rsidRDefault="00B13164" w:rsidP="00B13164">
            <w:pPr>
              <w:pStyle w:val="Akapitzlist"/>
              <w:numPr>
                <w:ilvl w:val="0"/>
                <w:numId w:val="5"/>
              </w:numPr>
              <w:spacing w:after="0" w:line="360" w:lineRule="auto"/>
              <w:rPr>
                <w:rFonts w:ascii="Times New Roman" w:hAnsi="Times New Roman"/>
                <w:color w:val="000000"/>
                <w:sz w:val="20"/>
                <w:szCs w:val="20"/>
              </w:rPr>
            </w:pPr>
            <w:r w:rsidRPr="007E65DA">
              <w:rPr>
                <w:rFonts w:ascii="Times New Roman" w:hAnsi="Times New Roman"/>
                <w:color w:val="000000"/>
                <w:sz w:val="20"/>
                <w:szCs w:val="20"/>
              </w:rPr>
              <w:t xml:space="preserve">Działalność związana z zakwaterowaniem </w:t>
            </w:r>
          </w:p>
          <w:p w:rsidR="00B13164" w:rsidRPr="007E65DA" w:rsidRDefault="00B13164" w:rsidP="00B13164">
            <w:pPr>
              <w:pStyle w:val="Akapitzlist"/>
              <w:numPr>
                <w:ilvl w:val="0"/>
                <w:numId w:val="5"/>
              </w:numPr>
              <w:spacing w:after="0" w:line="360" w:lineRule="auto"/>
              <w:rPr>
                <w:rFonts w:ascii="Times New Roman" w:hAnsi="Times New Roman"/>
                <w:color w:val="000000"/>
                <w:sz w:val="20"/>
                <w:szCs w:val="20"/>
              </w:rPr>
            </w:pPr>
            <w:r w:rsidRPr="007E65DA">
              <w:rPr>
                <w:rFonts w:ascii="Times New Roman" w:hAnsi="Times New Roman"/>
                <w:color w:val="000000"/>
                <w:sz w:val="20"/>
                <w:szCs w:val="20"/>
              </w:rPr>
              <w:t>Działalność związana z gastronomią</w:t>
            </w:r>
          </w:p>
          <w:p w:rsidR="00B13164" w:rsidRPr="007E65DA" w:rsidRDefault="00B13164" w:rsidP="00B13164">
            <w:pPr>
              <w:pStyle w:val="Akapitzlist"/>
              <w:numPr>
                <w:ilvl w:val="0"/>
                <w:numId w:val="5"/>
              </w:numPr>
              <w:spacing w:after="0" w:line="360" w:lineRule="auto"/>
              <w:rPr>
                <w:rFonts w:ascii="Times New Roman" w:hAnsi="Times New Roman"/>
                <w:color w:val="000000"/>
                <w:sz w:val="20"/>
                <w:szCs w:val="20"/>
              </w:rPr>
            </w:pPr>
            <w:r w:rsidRPr="007E65DA">
              <w:rPr>
                <w:rFonts w:ascii="Times New Roman" w:hAnsi="Times New Roman"/>
                <w:color w:val="000000"/>
                <w:sz w:val="20"/>
                <w:szCs w:val="20"/>
              </w:rPr>
              <w:t>Usługi związane z obsługą ruchu turystycznego</w:t>
            </w:r>
          </w:p>
          <w:p w:rsidR="00B13164" w:rsidRPr="007E65DA" w:rsidRDefault="00B13164" w:rsidP="00AB785D">
            <w:pPr>
              <w:spacing w:after="0" w:line="360" w:lineRule="auto"/>
              <w:ind w:left="48"/>
              <w:contextualSpacing/>
              <w:rPr>
                <w:rFonts w:ascii="Times New Roman" w:hAnsi="Times New Roman"/>
                <w:color w:val="000000"/>
                <w:sz w:val="20"/>
                <w:szCs w:val="20"/>
              </w:rPr>
            </w:pPr>
            <w:r w:rsidRPr="007E65DA">
              <w:rPr>
                <w:rFonts w:ascii="Times New Roman" w:hAnsi="Times New Roman"/>
                <w:i/>
                <w:color w:val="000000"/>
                <w:sz w:val="20"/>
                <w:szCs w:val="20"/>
              </w:rPr>
              <w:t xml:space="preserve">Kryterium weryfikowane będzie na podstawie zapisów w dokumentach aplikacyjnych, oraz na podstawie budżetu. </w:t>
            </w:r>
          </w:p>
        </w:tc>
        <w:tc>
          <w:tcPr>
            <w:tcW w:w="1367" w:type="pct"/>
            <w:shd w:val="clear" w:color="auto" w:fill="auto"/>
          </w:tcPr>
          <w:p w:rsidR="00B13164" w:rsidRPr="007E65DA" w:rsidRDefault="00B13164" w:rsidP="00AB785D">
            <w:pPr>
              <w:pStyle w:val="Bezodstpw"/>
              <w:spacing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Maksymalna ilość punktów: 5 pkt.</w:t>
            </w:r>
          </w:p>
          <w:p w:rsidR="00B13164" w:rsidRPr="007E65DA" w:rsidRDefault="00B13164" w:rsidP="00AB785D">
            <w:pPr>
              <w:pStyle w:val="Bezodstpw"/>
              <w:spacing w:line="360" w:lineRule="auto"/>
              <w:rPr>
                <w:rFonts w:ascii="Times New Roman" w:hAnsi="Times New Roman"/>
                <w:color w:val="000000"/>
                <w:sz w:val="20"/>
                <w:szCs w:val="20"/>
                <w:lang w:eastAsia="ar-SA"/>
              </w:rPr>
            </w:pPr>
          </w:p>
          <w:p w:rsidR="00B13164" w:rsidRPr="007E65DA" w:rsidRDefault="00B13164" w:rsidP="00AB785D">
            <w:pPr>
              <w:snapToGrid w:val="0"/>
              <w:spacing w:after="0" w:line="360" w:lineRule="auto"/>
              <w:rPr>
                <w:rFonts w:ascii="Times New Roman" w:hAnsi="Times New Roman"/>
                <w:color w:val="000000"/>
                <w:sz w:val="20"/>
                <w:szCs w:val="20"/>
              </w:rPr>
            </w:pPr>
            <w:r w:rsidRPr="007E65DA">
              <w:rPr>
                <w:rFonts w:ascii="Times New Roman" w:hAnsi="Times New Roman"/>
                <w:color w:val="000000"/>
                <w:sz w:val="20"/>
                <w:szCs w:val="20"/>
              </w:rPr>
              <w:t>5 pkt</w:t>
            </w:r>
            <w:r>
              <w:rPr>
                <w:rFonts w:ascii="Times New Roman" w:hAnsi="Times New Roman"/>
                <w:color w:val="000000"/>
                <w:sz w:val="20"/>
                <w:szCs w:val="20"/>
              </w:rPr>
              <w:t>.</w:t>
            </w:r>
            <w:r w:rsidRPr="007E65DA">
              <w:rPr>
                <w:rFonts w:ascii="Times New Roman" w:hAnsi="Times New Roman"/>
                <w:color w:val="000000"/>
                <w:sz w:val="20"/>
                <w:szCs w:val="20"/>
              </w:rPr>
              <w:t xml:space="preserve"> – operacja dotyczy działalności w co najmniej jednym ze wskazanych zakresów</w:t>
            </w:r>
          </w:p>
          <w:p w:rsidR="00B13164" w:rsidRPr="007E65DA" w:rsidRDefault="00B13164" w:rsidP="00AB785D">
            <w:pPr>
              <w:snapToGrid w:val="0"/>
              <w:spacing w:after="0" w:line="360" w:lineRule="auto"/>
              <w:rPr>
                <w:rFonts w:ascii="Times New Roman" w:hAnsi="Times New Roman"/>
                <w:color w:val="000000"/>
                <w:sz w:val="20"/>
                <w:szCs w:val="20"/>
              </w:rPr>
            </w:pPr>
            <w:r w:rsidRPr="007E65DA">
              <w:rPr>
                <w:rFonts w:ascii="Times New Roman" w:hAnsi="Times New Roman"/>
                <w:color w:val="000000"/>
                <w:sz w:val="20"/>
                <w:szCs w:val="20"/>
              </w:rPr>
              <w:t>0 pkt</w:t>
            </w:r>
            <w:r>
              <w:rPr>
                <w:rFonts w:ascii="Times New Roman" w:hAnsi="Times New Roman"/>
                <w:color w:val="000000"/>
                <w:sz w:val="20"/>
                <w:szCs w:val="20"/>
              </w:rPr>
              <w:t>.</w:t>
            </w:r>
            <w:r w:rsidRPr="007E65DA">
              <w:rPr>
                <w:rFonts w:ascii="Times New Roman" w:hAnsi="Times New Roman"/>
                <w:color w:val="000000"/>
                <w:sz w:val="20"/>
                <w:szCs w:val="20"/>
              </w:rPr>
              <w:t xml:space="preserve"> – operacja nie dotyczy żadnego z wymienionych zakresów</w:t>
            </w:r>
          </w:p>
          <w:p w:rsidR="00B13164" w:rsidRPr="007E65DA" w:rsidRDefault="00B13164" w:rsidP="00AB785D">
            <w:pPr>
              <w:pStyle w:val="Bezodstpw"/>
              <w:spacing w:line="360" w:lineRule="auto"/>
              <w:ind w:left="33"/>
              <w:rPr>
                <w:rFonts w:ascii="Times New Roman" w:hAnsi="Times New Roman"/>
                <w:color w:val="000000"/>
                <w:sz w:val="20"/>
                <w:szCs w:val="20"/>
                <w:lang w:eastAsia="ar-SA"/>
              </w:rPr>
            </w:pPr>
          </w:p>
        </w:tc>
      </w:tr>
      <w:tr w:rsidR="00B13164" w:rsidRPr="007E65DA" w:rsidTr="00AB785D">
        <w:trPr>
          <w:trHeight w:val="570"/>
        </w:trPr>
        <w:tc>
          <w:tcPr>
            <w:tcW w:w="338"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lastRenderedPageBreak/>
              <w:t>12</w:t>
            </w:r>
          </w:p>
        </w:tc>
        <w:tc>
          <w:tcPr>
            <w:tcW w:w="1113"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b/>
                <w:color w:val="000000"/>
                <w:sz w:val="20"/>
                <w:szCs w:val="20"/>
                <w:lang w:eastAsia="ar-SA"/>
              </w:rPr>
              <w:t>Operacja wspierać będzie realizację celu ogólnego 2 lub 3</w:t>
            </w:r>
          </w:p>
        </w:tc>
        <w:tc>
          <w:tcPr>
            <w:tcW w:w="2182" w:type="pct"/>
            <w:shd w:val="clear" w:color="auto" w:fill="auto"/>
          </w:tcPr>
          <w:p w:rsidR="00B13164" w:rsidRPr="007E65DA" w:rsidRDefault="00B13164" w:rsidP="00AB785D">
            <w:pPr>
              <w:spacing w:after="0" w:line="360" w:lineRule="auto"/>
              <w:rPr>
                <w:rFonts w:ascii="Times New Roman" w:hAnsi="Times New Roman"/>
                <w:color w:val="000000"/>
                <w:sz w:val="20"/>
                <w:szCs w:val="20"/>
              </w:rPr>
            </w:pPr>
            <w:r w:rsidRPr="007E65DA">
              <w:rPr>
                <w:rFonts w:ascii="Times New Roman" w:hAnsi="Times New Roman"/>
                <w:color w:val="000000"/>
                <w:sz w:val="20"/>
                <w:szCs w:val="20"/>
              </w:rPr>
              <w:t xml:space="preserve">Operacja </w:t>
            </w:r>
            <w:r>
              <w:rPr>
                <w:rFonts w:ascii="Times New Roman" w:hAnsi="Times New Roman"/>
                <w:color w:val="000000"/>
                <w:sz w:val="20"/>
                <w:szCs w:val="20"/>
              </w:rPr>
              <w:t xml:space="preserve">wspiera cel ogólny 2 lub 3 </w:t>
            </w:r>
            <w:r w:rsidRPr="007E65DA">
              <w:rPr>
                <w:rFonts w:ascii="Times New Roman" w:hAnsi="Times New Roman"/>
                <w:color w:val="000000"/>
                <w:sz w:val="20"/>
                <w:szCs w:val="20"/>
              </w:rPr>
              <w:t>LSR</w:t>
            </w:r>
          </w:p>
          <w:p w:rsidR="00B13164" w:rsidRPr="007E65DA" w:rsidRDefault="00B13164" w:rsidP="00AB785D">
            <w:pPr>
              <w:pStyle w:val="Akapitzlist"/>
              <w:spacing w:after="0" w:line="360" w:lineRule="auto"/>
              <w:ind w:left="0"/>
              <w:rPr>
                <w:rFonts w:ascii="Times New Roman" w:hAnsi="Times New Roman"/>
                <w:i/>
                <w:color w:val="000000"/>
                <w:sz w:val="20"/>
                <w:szCs w:val="20"/>
              </w:rPr>
            </w:pPr>
            <w:r w:rsidRPr="007E65DA">
              <w:rPr>
                <w:rFonts w:ascii="Times New Roman" w:hAnsi="Times New Roman"/>
                <w:i/>
                <w:color w:val="000000"/>
                <w:sz w:val="20"/>
                <w:szCs w:val="20"/>
              </w:rPr>
              <w:t xml:space="preserve">Kryterium będzie weryfikowane na podstawie zapisów w dokumentach aplikacyjnych. </w:t>
            </w:r>
          </w:p>
          <w:p w:rsidR="00B13164" w:rsidRPr="007E65DA" w:rsidRDefault="00B13164" w:rsidP="00AB785D">
            <w:pPr>
              <w:pStyle w:val="Akapitzlist"/>
              <w:spacing w:after="0" w:line="360" w:lineRule="auto"/>
              <w:ind w:left="0"/>
              <w:rPr>
                <w:rFonts w:ascii="Times New Roman" w:hAnsi="Times New Roman"/>
                <w:color w:val="000000"/>
                <w:sz w:val="20"/>
                <w:szCs w:val="20"/>
              </w:rPr>
            </w:pPr>
            <w:r w:rsidRPr="007E65DA">
              <w:rPr>
                <w:rFonts w:ascii="Times New Roman" w:hAnsi="Times New Roman"/>
                <w:i/>
                <w:color w:val="000000"/>
                <w:sz w:val="20"/>
                <w:szCs w:val="20"/>
              </w:rPr>
              <w:t>Członek Rady będzie zobowiązany do szczegółowego uzasadnienia  liczby przyznanych  punktów.</w:t>
            </w:r>
          </w:p>
        </w:tc>
        <w:tc>
          <w:tcPr>
            <w:tcW w:w="1367" w:type="pct"/>
            <w:shd w:val="clear" w:color="auto" w:fill="auto"/>
          </w:tcPr>
          <w:p w:rsidR="00B13164" w:rsidRPr="007E65DA" w:rsidRDefault="00B13164" w:rsidP="00AB785D">
            <w:pPr>
              <w:snapToGrid w:val="0"/>
              <w:spacing w:after="0" w:line="360" w:lineRule="auto"/>
              <w:rPr>
                <w:rFonts w:ascii="Times New Roman" w:hAnsi="Times New Roman"/>
                <w:b/>
                <w:color w:val="000000"/>
                <w:sz w:val="20"/>
                <w:szCs w:val="20"/>
                <w:lang w:eastAsia="ar-SA"/>
              </w:rPr>
            </w:pPr>
            <w:r w:rsidRPr="007E65DA">
              <w:rPr>
                <w:rFonts w:ascii="Times New Roman" w:hAnsi="Times New Roman"/>
                <w:b/>
                <w:color w:val="000000"/>
                <w:sz w:val="20"/>
                <w:szCs w:val="20"/>
                <w:lang w:eastAsia="ar-SA"/>
              </w:rPr>
              <w:t>Maksymalna ilość punktów: 2 pkt.</w:t>
            </w:r>
          </w:p>
          <w:p w:rsidR="00B13164" w:rsidRPr="007E65DA" w:rsidRDefault="00B13164" w:rsidP="00AB785D">
            <w:pPr>
              <w:snapToGrid w:val="0"/>
              <w:spacing w:after="0" w:line="360" w:lineRule="auto"/>
              <w:rPr>
                <w:rFonts w:ascii="Times New Roman" w:hAnsi="Times New Roman"/>
                <w:b/>
                <w:color w:val="000000"/>
                <w:sz w:val="20"/>
                <w:szCs w:val="20"/>
                <w:lang w:eastAsia="ar-SA"/>
              </w:rPr>
            </w:pPr>
          </w:p>
          <w:p w:rsidR="00B13164" w:rsidRPr="007E65DA" w:rsidRDefault="00B13164" w:rsidP="00AB785D">
            <w:pPr>
              <w:snapToGrid w:val="0"/>
              <w:spacing w:after="0" w:line="360" w:lineRule="auto"/>
              <w:rPr>
                <w:rFonts w:ascii="Times New Roman" w:hAnsi="Times New Roman"/>
                <w:color w:val="000000"/>
                <w:sz w:val="20"/>
                <w:szCs w:val="20"/>
                <w:lang w:eastAsia="ar-SA"/>
              </w:rPr>
            </w:pPr>
            <w:r w:rsidRPr="007E65DA">
              <w:rPr>
                <w:rFonts w:ascii="Times New Roman" w:hAnsi="Times New Roman"/>
                <w:color w:val="000000"/>
                <w:sz w:val="20"/>
                <w:szCs w:val="20"/>
                <w:lang w:eastAsia="ar-SA"/>
              </w:rPr>
              <w:t>2 pkt. – TAK</w:t>
            </w:r>
          </w:p>
          <w:p w:rsidR="00B13164" w:rsidRPr="007E65DA" w:rsidRDefault="00B13164" w:rsidP="00AB785D">
            <w:pPr>
              <w:snapToGrid w:val="0"/>
              <w:spacing w:after="0" w:line="360" w:lineRule="auto"/>
              <w:rPr>
                <w:rFonts w:ascii="Times New Roman" w:hAnsi="Times New Roman"/>
                <w:b/>
                <w:color w:val="000000"/>
                <w:sz w:val="20"/>
                <w:szCs w:val="20"/>
                <w:lang w:eastAsia="ar-SA"/>
              </w:rPr>
            </w:pPr>
            <w:r>
              <w:rPr>
                <w:rFonts w:ascii="Times New Roman" w:hAnsi="Times New Roman"/>
                <w:color w:val="000000"/>
                <w:sz w:val="20"/>
                <w:szCs w:val="20"/>
                <w:lang w:eastAsia="ar-SA"/>
              </w:rPr>
              <w:t>0</w:t>
            </w:r>
            <w:r w:rsidRPr="007E65DA">
              <w:rPr>
                <w:rFonts w:ascii="Times New Roman" w:hAnsi="Times New Roman"/>
                <w:color w:val="000000"/>
                <w:sz w:val="20"/>
                <w:szCs w:val="20"/>
                <w:lang w:eastAsia="ar-SA"/>
              </w:rPr>
              <w:t xml:space="preserve"> pkt. – NIE</w:t>
            </w:r>
          </w:p>
        </w:tc>
      </w:tr>
    </w:tbl>
    <w:p w:rsidR="00F65008" w:rsidRDefault="00F65008"/>
    <w:sectPr w:rsidR="00F65008" w:rsidSect="00B13164">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4FC" w:rsidRDefault="001274FC" w:rsidP="00B13164">
      <w:pPr>
        <w:spacing w:after="0" w:line="240" w:lineRule="auto"/>
      </w:pPr>
      <w:r>
        <w:separator/>
      </w:r>
    </w:p>
  </w:endnote>
  <w:endnote w:type="continuationSeparator" w:id="0">
    <w:p w:rsidR="001274FC" w:rsidRDefault="001274FC" w:rsidP="00B1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4FC" w:rsidRDefault="001274FC" w:rsidP="00B13164">
      <w:pPr>
        <w:spacing w:after="0" w:line="240" w:lineRule="auto"/>
      </w:pPr>
      <w:r>
        <w:separator/>
      </w:r>
    </w:p>
  </w:footnote>
  <w:footnote w:type="continuationSeparator" w:id="0">
    <w:p w:rsidR="001274FC" w:rsidRDefault="001274FC" w:rsidP="00B13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insideH w:val="single" w:sz="4" w:space="0" w:color="000000"/>
      </w:tblBorders>
      <w:tblLayout w:type="fixed"/>
      <w:tblLook w:val="04A0" w:firstRow="1" w:lastRow="0" w:firstColumn="1" w:lastColumn="0" w:noHBand="0" w:noVBand="1"/>
    </w:tblPr>
    <w:tblGrid>
      <w:gridCol w:w="2204"/>
      <w:gridCol w:w="2205"/>
      <w:gridCol w:w="1986"/>
      <w:gridCol w:w="2205"/>
    </w:tblGrid>
    <w:tr w:rsidR="00B13164" w:rsidRPr="00BC67B9" w:rsidTr="00AB785D">
      <w:trPr>
        <w:trHeight w:val="1051"/>
        <w:jc w:val="center"/>
      </w:trPr>
      <w:tc>
        <w:tcPr>
          <w:tcW w:w="2204" w:type="dxa"/>
        </w:tcPr>
        <w:p w:rsidR="00B13164" w:rsidRPr="00BC67B9" w:rsidRDefault="00B13164" w:rsidP="00B13164">
          <w:pPr>
            <w:pStyle w:val="Nagwek"/>
          </w:pPr>
          <w:r>
            <w:rPr>
              <w:noProof/>
              <w:lang w:eastAsia="pl-PL"/>
            </w:rPr>
            <w:drawing>
              <wp:anchor distT="0" distB="0" distL="114300" distR="114300" simplePos="0" relativeHeight="251659264" behindDoc="1" locked="0" layoutInCell="1" allowOverlap="1" wp14:anchorId="0B47C2FF" wp14:editId="5B106037">
                <wp:simplePos x="0" y="0"/>
                <wp:positionH relativeFrom="column">
                  <wp:posOffset>142240</wp:posOffset>
                </wp:positionH>
                <wp:positionV relativeFrom="page">
                  <wp:posOffset>-1905</wp:posOffset>
                </wp:positionV>
                <wp:extent cx="885825" cy="542925"/>
                <wp:effectExtent l="19050" t="0" r="9525" b="0"/>
                <wp:wrapThrough wrapText="bothSides">
                  <wp:wrapPolygon edited="0">
                    <wp:start x="-465" y="0"/>
                    <wp:lineTo x="-465" y="21221"/>
                    <wp:lineTo x="21832" y="21221"/>
                    <wp:lineTo x="21832" y="0"/>
                    <wp:lineTo x="-465" y="0"/>
                  </wp:wrapPolygon>
                </wp:wrapThrough>
                <wp:docPr id="2" name="Obraz 1" descr="log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E"/>
                        <pic:cNvPicPr>
                          <a:picLocks noChangeAspect="1" noChangeArrowheads="1"/>
                        </pic:cNvPicPr>
                      </pic:nvPicPr>
                      <pic:blipFill>
                        <a:blip r:embed="rId1"/>
                        <a:srcRect/>
                        <a:stretch>
                          <a:fillRect/>
                        </a:stretch>
                      </pic:blipFill>
                      <pic:spPr bwMode="auto">
                        <a:xfrm>
                          <a:off x="0" y="0"/>
                          <a:ext cx="885825" cy="542925"/>
                        </a:xfrm>
                        <a:prstGeom prst="rect">
                          <a:avLst/>
                        </a:prstGeom>
                        <a:noFill/>
                        <a:ln w="9525">
                          <a:noFill/>
                          <a:miter lim="800000"/>
                          <a:headEnd/>
                          <a:tailEnd/>
                        </a:ln>
                      </pic:spPr>
                    </pic:pic>
                  </a:graphicData>
                </a:graphic>
              </wp:anchor>
            </w:drawing>
          </w:r>
        </w:p>
      </w:tc>
      <w:tc>
        <w:tcPr>
          <w:tcW w:w="2205" w:type="dxa"/>
        </w:tcPr>
        <w:p w:rsidR="00B13164" w:rsidRPr="00BC67B9" w:rsidRDefault="00B13164" w:rsidP="00B13164">
          <w:pPr>
            <w:pStyle w:val="Nagwek"/>
          </w:pPr>
          <w:r>
            <w:rPr>
              <w:noProof/>
              <w:lang w:eastAsia="pl-PL"/>
            </w:rPr>
            <w:drawing>
              <wp:anchor distT="0" distB="0" distL="114300" distR="114300" simplePos="0" relativeHeight="251660288" behindDoc="1" locked="0" layoutInCell="1" allowOverlap="1" wp14:anchorId="1E4804EF" wp14:editId="4BF20E54">
                <wp:simplePos x="0" y="0"/>
                <wp:positionH relativeFrom="column">
                  <wp:posOffset>47625</wp:posOffset>
                </wp:positionH>
                <wp:positionV relativeFrom="paragraph">
                  <wp:posOffset>179070</wp:posOffset>
                </wp:positionV>
                <wp:extent cx="1352550" cy="361950"/>
                <wp:effectExtent l="19050" t="0" r="0" b="0"/>
                <wp:wrapThrough wrapText="bothSides">
                  <wp:wrapPolygon edited="0">
                    <wp:start x="-304" y="0"/>
                    <wp:lineTo x="-304" y="20463"/>
                    <wp:lineTo x="21600" y="20463"/>
                    <wp:lineTo x="21600" y="0"/>
                    <wp:lineTo x="-304" y="0"/>
                  </wp:wrapPolygon>
                </wp:wrapThrough>
                <wp:docPr id="3" name="Obraz 2" descr="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d"/>
                        <pic:cNvPicPr>
                          <a:picLocks noChangeAspect="1" noChangeArrowheads="1"/>
                        </pic:cNvPicPr>
                      </pic:nvPicPr>
                      <pic:blipFill>
                        <a:blip r:embed="rId2"/>
                        <a:srcRect/>
                        <a:stretch>
                          <a:fillRect/>
                        </a:stretch>
                      </pic:blipFill>
                      <pic:spPr bwMode="auto">
                        <a:xfrm>
                          <a:off x="0" y="0"/>
                          <a:ext cx="1352550" cy="361950"/>
                        </a:xfrm>
                        <a:prstGeom prst="rect">
                          <a:avLst/>
                        </a:prstGeom>
                        <a:noFill/>
                        <a:ln w="9525">
                          <a:noFill/>
                          <a:miter lim="800000"/>
                          <a:headEnd/>
                          <a:tailEnd/>
                        </a:ln>
                      </pic:spPr>
                    </pic:pic>
                  </a:graphicData>
                </a:graphic>
              </wp:anchor>
            </w:drawing>
          </w:r>
        </w:p>
      </w:tc>
      <w:tc>
        <w:tcPr>
          <w:tcW w:w="1986" w:type="dxa"/>
        </w:tcPr>
        <w:p w:rsidR="00B13164" w:rsidRPr="00BC67B9" w:rsidRDefault="00B13164" w:rsidP="00B13164">
          <w:pPr>
            <w:pStyle w:val="Nagwek"/>
          </w:pPr>
          <w:r>
            <w:rPr>
              <w:noProof/>
              <w:lang w:eastAsia="pl-PL"/>
            </w:rPr>
            <w:drawing>
              <wp:anchor distT="0" distB="0" distL="114300" distR="115951" simplePos="0" relativeHeight="251661312" behindDoc="1" locked="0" layoutInCell="1" allowOverlap="0" wp14:anchorId="201C8DA0" wp14:editId="0271F631">
                <wp:simplePos x="0" y="0"/>
                <wp:positionH relativeFrom="column">
                  <wp:posOffset>354711</wp:posOffset>
                </wp:positionH>
                <wp:positionV relativeFrom="page">
                  <wp:posOffset>-3810</wp:posOffset>
                </wp:positionV>
                <wp:extent cx="605155" cy="626745"/>
                <wp:effectExtent l="19050" t="0" r="4445" b="1905"/>
                <wp:wrapTopAndBottom/>
                <wp:docPr id="4" name="Obraz 3" descr="Leader_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descr="Leader_ue"/>
                        <pic:cNvPicPr>
                          <a:picLocks noChangeAspect="1" noChangeArrowheads="1"/>
                        </pic:cNvPicPr>
                      </pic:nvPicPr>
                      <pic:blipFill>
                        <a:blip r:embed="rId3"/>
                        <a:srcRect/>
                        <a:stretch>
                          <a:fillRect/>
                        </a:stretch>
                      </pic:blipFill>
                      <pic:spPr bwMode="auto">
                        <a:xfrm>
                          <a:off x="0" y="0"/>
                          <a:ext cx="605155" cy="626745"/>
                        </a:xfrm>
                        <a:prstGeom prst="rect">
                          <a:avLst/>
                        </a:prstGeom>
                        <a:noFill/>
                        <a:effectLst>
                          <a:outerShdw dist="12700" dir="5400000" algn="ctr" rotWithShape="0">
                            <a:srgbClr val="808080"/>
                          </a:outerShdw>
                        </a:effectLst>
                      </pic:spPr>
                    </pic:pic>
                  </a:graphicData>
                </a:graphic>
              </wp:anchor>
            </w:drawing>
          </w:r>
        </w:p>
      </w:tc>
      <w:tc>
        <w:tcPr>
          <w:tcW w:w="2205" w:type="dxa"/>
        </w:tcPr>
        <w:p w:rsidR="00B13164" w:rsidRPr="00BC67B9" w:rsidRDefault="00B13164" w:rsidP="00B13164">
          <w:pPr>
            <w:pStyle w:val="Nagwek"/>
            <w:jc w:val="center"/>
          </w:pPr>
          <w:r>
            <w:rPr>
              <w:noProof/>
              <w:lang w:eastAsia="pl-PL"/>
            </w:rPr>
            <w:drawing>
              <wp:inline distT="0" distB="0" distL="0" distR="0" wp14:anchorId="68FE58B7" wp14:editId="009E570D">
                <wp:extent cx="1022350" cy="664845"/>
                <wp:effectExtent l="19050" t="0" r="6350" b="0"/>
                <wp:docPr id="1" name="Obraz 1" descr="D:\Dropbox\WDRAŻANIE LSR\Logo programu\PROW-2014-2020 kolo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Dropbox\WDRAŻANIE LSR\Logo programu\PROW-2014-2020 kolor\PROW-2014-2020-logo-kolor.jpg"/>
                        <pic:cNvPicPr>
                          <a:picLocks noChangeAspect="1" noChangeArrowheads="1"/>
                        </pic:cNvPicPr>
                      </pic:nvPicPr>
                      <pic:blipFill>
                        <a:blip r:embed="rId4"/>
                        <a:srcRect/>
                        <a:stretch>
                          <a:fillRect/>
                        </a:stretch>
                      </pic:blipFill>
                      <pic:spPr bwMode="auto">
                        <a:xfrm>
                          <a:off x="0" y="0"/>
                          <a:ext cx="1022350" cy="664845"/>
                        </a:xfrm>
                        <a:prstGeom prst="rect">
                          <a:avLst/>
                        </a:prstGeom>
                        <a:noFill/>
                        <a:ln w="9525">
                          <a:noFill/>
                          <a:miter lim="800000"/>
                          <a:headEnd/>
                          <a:tailEnd/>
                        </a:ln>
                      </pic:spPr>
                    </pic:pic>
                  </a:graphicData>
                </a:graphic>
              </wp:inline>
            </w:drawing>
          </w:r>
        </w:p>
      </w:tc>
    </w:tr>
  </w:tbl>
  <w:p w:rsidR="00B13164" w:rsidRDefault="00B131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675"/>
    <w:multiLevelType w:val="hybridMultilevel"/>
    <w:tmpl w:val="8FD421F8"/>
    <w:lvl w:ilvl="0" w:tplc="8CFE6C5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125F6A"/>
    <w:multiLevelType w:val="hybridMultilevel"/>
    <w:tmpl w:val="6508543A"/>
    <w:lvl w:ilvl="0" w:tplc="FD600660">
      <w:start w:val="1"/>
      <w:numFmt w:val="decimal"/>
      <w:lvlText w:val="%1)"/>
      <w:lvlJc w:val="left"/>
      <w:pPr>
        <w:ind w:left="446" w:hanging="360"/>
      </w:pPr>
      <w:rPr>
        <w:rFonts w:hint="default"/>
        <w:sz w:val="20"/>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 w15:restartNumberingAfterBreak="0">
    <w:nsid w:val="37916C56"/>
    <w:multiLevelType w:val="hybridMultilevel"/>
    <w:tmpl w:val="B9325234"/>
    <w:lvl w:ilvl="0" w:tplc="1F0A2A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A63303"/>
    <w:multiLevelType w:val="hybridMultilevel"/>
    <w:tmpl w:val="91FAD108"/>
    <w:lvl w:ilvl="0" w:tplc="0415000B">
      <w:start w:val="1"/>
      <w:numFmt w:val="bullet"/>
      <w:lvlText w:val=""/>
      <w:lvlJc w:val="left"/>
      <w:pPr>
        <w:ind w:left="810" w:hanging="360"/>
      </w:pPr>
      <w:rPr>
        <w:rFonts w:ascii="Wingdings" w:hAnsi="Wingding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4" w15:restartNumberingAfterBreak="0">
    <w:nsid w:val="417E35C3"/>
    <w:multiLevelType w:val="hybridMultilevel"/>
    <w:tmpl w:val="C42ED1B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800C16"/>
    <w:multiLevelType w:val="hybridMultilevel"/>
    <w:tmpl w:val="D37A8250"/>
    <w:lvl w:ilvl="0" w:tplc="8CFE6C5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4A2635"/>
    <w:multiLevelType w:val="hybridMultilevel"/>
    <w:tmpl w:val="856013AA"/>
    <w:lvl w:ilvl="0" w:tplc="7E34F8D4">
      <w:start w:val="1"/>
      <w:numFmt w:val="decimal"/>
      <w:lvlText w:val="%1."/>
      <w:lvlJc w:val="left"/>
      <w:pPr>
        <w:ind w:left="408" w:hanging="360"/>
      </w:pPr>
      <w:rPr>
        <w:rFonts w:hint="default"/>
        <w:sz w:val="22"/>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num w:numId="1">
    <w:abstractNumId w:val="2"/>
  </w:num>
  <w:num w:numId="2">
    <w:abstractNumId w:val="5"/>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64"/>
    <w:rsid w:val="001274FC"/>
    <w:rsid w:val="00B13164"/>
    <w:rsid w:val="00F65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E7E3"/>
  <w15:chartTrackingRefBased/>
  <w15:docId w15:val="{57FD378D-C8DC-4F2F-9CCB-9D3C723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3164"/>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B13164"/>
    <w:pPr>
      <w:keepNext/>
      <w:suppressAutoHyphens/>
      <w:spacing w:after="0" w:line="240" w:lineRule="auto"/>
      <w:ind w:left="720" w:right="-29" w:hanging="360"/>
      <w:outlineLvl w:val="0"/>
    </w:pPr>
    <w:rPr>
      <w:rFonts w:ascii="Arial" w:eastAsia="Times New Roman" w:hAnsi="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3164"/>
    <w:rPr>
      <w:rFonts w:ascii="Arial" w:eastAsia="Times New Roman" w:hAnsi="Arial" w:cs="Times New Roman"/>
      <w:b/>
      <w:bCs/>
      <w:szCs w:val="24"/>
      <w:lang w:eastAsia="ar-SA"/>
    </w:rPr>
  </w:style>
  <w:style w:type="paragraph" w:styleId="Akapitzlist">
    <w:name w:val="List Paragraph"/>
    <w:basedOn w:val="Normalny"/>
    <w:uiPriority w:val="34"/>
    <w:qFormat/>
    <w:rsid w:val="00B13164"/>
    <w:pPr>
      <w:ind w:left="720"/>
      <w:contextualSpacing/>
    </w:pPr>
  </w:style>
  <w:style w:type="paragraph" w:customStyle="1" w:styleId="Default">
    <w:name w:val="Default"/>
    <w:rsid w:val="00B13164"/>
    <w:pPr>
      <w:autoSpaceDE w:val="0"/>
      <w:autoSpaceDN w:val="0"/>
      <w:adjustRightInd w:val="0"/>
      <w:spacing w:after="0" w:line="240" w:lineRule="auto"/>
    </w:pPr>
    <w:rPr>
      <w:rFonts w:ascii="Calibri" w:eastAsia="Calibri" w:hAnsi="Calibri" w:cs="Calibri"/>
      <w:color w:val="000000"/>
      <w:sz w:val="24"/>
      <w:szCs w:val="24"/>
    </w:rPr>
  </w:style>
  <w:style w:type="paragraph" w:styleId="Bezodstpw">
    <w:name w:val="No Spacing"/>
    <w:uiPriority w:val="1"/>
    <w:qFormat/>
    <w:rsid w:val="00B13164"/>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B13164"/>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13164"/>
  </w:style>
  <w:style w:type="paragraph" w:styleId="Stopka">
    <w:name w:val="footer"/>
    <w:basedOn w:val="Normalny"/>
    <w:link w:val="StopkaZnak"/>
    <w:uiPriority w:val="99"/>
    <w:unhideWhenUsed/>
    <w:rsid w:val="00B131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16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1738</Words>
  <Characters>10429</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 KLJ</dc:creator>
  <cp:keywords/>
  <dc:description/>
  <cp:lastModifiedBy>Stowarzyszenie KLJ</cp:lastModifiedBy>
  <cp:revision>1</cp:revision>
  <dcterms:created xsi:type="dcterms:W3CDTF">2017-11-15T13:39:00Z</dcterms:created>
  <dcterms:modified xsi:type="dcterms:W3CDTF">2017-11-15T13:42:00Z</dcterms:modified>
</cp:coreProperties>
</file>